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B9" w:rsidRPr="00165B18" w:rsidRDefault="00C50893">
      <w:pPr>
        <w:rPr>
          <w:b/>
          <w:sz w:val="36"/>
        </w:rPr>
      </w:pPr>
      <w:r w:rsidRPr="00165B18">
        <w:rPr>
          <w:b/>
          <w:sz w:val="36"/>
        </w:rPr>
        <w:t>The ‘one size fits all’ public service model: is it fit for purpose?</w:t>
      </w:r>
    </w:p>
    <w:p w:rsidR="00C50893" w:rsidRDefault="00C50893" w:rsidP="00165B18">
      <w:pPr>
        <w:spacing w:line="300" w:lineRule="auto"/>
        <w:rPr>
          <w:b/>
          <w:sz w:val="28"/>
        </w:rPr>
      </w:pPr>
    </w:p>
    <w:p w:rsidR="00C50893" w:rsidRDefault="00165B18" w:rsidP="00165B18">
      <w:pPr>
        <w:spacing w:line="300" w:lineRule="auto"/>
        <w:rPr>
          <w:b/>
          <w:sz w:val="28"/>
        </w:rPr>
      </w:pPr>
      <w:r>
        <w:rPr>
          <w:b/>
          <w:sz w:val="28"/>
        </w:rPr>
        <w:t xml:space="preserve">Kevin Callinan, Senior General </w:t>
      </w:r>
      <w:r w:rsidR="00B4511E">
        <w:rPr>
          <w:b/>
          <w:sz w:val="28"/>
        </w:rPr>
        <w:t xml:space="preserve">Secretary </w:t>
      </w:r>
      <w:bookmarkStart w:id="0" w:name="_GoBack"/>
      <w:bookmarkEnd w:id="0"/>
      <w:r w:rsidR="00C50893">
        <w:rPr>
          <w:b/>
          <w:sz w:val="28"/>
        </w:rPr>
        <w:t>Designate, Fórsa</w:t>
      </w:r>
    </w:p>
    <w:p w:rsidR="0010165D" w:rsidRDefault="00C50893" w:rsidP="0010165D">
      <w:pPr>
        <w:spacing w:line="300" w:lineRule="auto"/>
        <w:rPr>
          <w:b/>
          <w:sz w:val="28"/>
        </w:rPr>
      </w:pPr>
      <w:r>
        <w:rPr>
          <w:b/>
          <w:sz w:val="28"/>
        </w:rPr>
        <w:t>IRN Conference 2019, 7</w:t>
      </w:r>
      <w:r w:rsidR="0010165D" w:rsidRPr="0010165D">
        <w:rPr>
          <w:b/>
          <w:sz w:val="28"/>
          <w:vertAlign w:val="superscript"/>
        </w:rPr>
        <w:t>th</w:t>
      </w:r>
      <w:r w:rsidR="0010165D">
        <w:rPr>
          <w:b/>
          <w:sz w:val="28"/>
        </w:rPr>
        <w:t xml:space="preserve"> </w:t>
      </w:r>
      <w:r>
        <w:rPr>
          <w:b/>
          <w:sz w:val="28"/>
        </w:rPr>
        <w:t>March 2019</w:t>
      </w:r>
      <w:r w:rsidR="00052CB8">
        <w:rPr>
          <w:b/>
          <w:sz w:val="28"/>
        </w:rPr>
        <w:t xml:space="preserve">, </w:t>
      </w:r>
      <w:r>
        <w:rPr>
          <w:b/>
          <w:sz w:val="28"/>
        </w:rPr>
        <w:t>Irish Management Institute</w:t>
      </w:r>
    </w:p>
    <w:p w:rsidR="0010165D" w:rsidRPr="00827762" w:rsidRDefault="0010165D" w:rsidP="00827762">
      <w:pPr>
        <w:rPr>
          <w:rFonts w:cs="Arial"/>
          <w:b/>
          <w:sz w:val="28"/>
        </w:rPr>
      </w:pPr>
    </w:p>
    <w:p w:rsidR="002210AF" w:rsidRPr="00827762" w:rsidRDefault="0010165D" w:rsidP="00827762">
      <w:pPr>
        <w:rPr>
          <w:rFonts w:cs="Arial"/>
        </w:rPr>
      </w:pPr>
      <w:r w:rsidRPr="00827762">
        <w:rPr>
          <w:rFonts w:cs="Arial"/>
        </w:rPr>
        <w:t xml:space="preserve">Any discussion of public service pay agreements must be rooted in </w:t>
      </w:r>
      <w:r w:rsidR="0072714B">
        <w:rPr>
          <w:rFonts w:cs="Arial"/>
        </w:rPr>
        <w:t xml:space="preserve">the </w:t>
      </w:r>
      <w:r w:rsidRPr="00827762">
        <w:rPr>
          <w:rFonts w:cs="Arial"/>
        </w:rPr>
        <w:t xml:space="preserve">value they bring to their </w:t>
      </w:r>
      <w:r w:rsidR="00E00E5C">
        <w:rPr>
          <w:rFonts w:cs="Arial"/>
        </w:rPr>
        <w:t xml:space="preserve">various </w:t>
      </w:r>
      <w:r w:rsidRPr="00827762">
        <w:rPr>
          <w:rFonts w:cs="Arial"/>
        </w:rPr>
        <w:t xml:space="preserve">stakeholders. </w:t>
      </w:r>
      <w:r w:rsidR="002210AF" w:rsidRPr="00827762">
        <w:rPr>
          <w:rFonts w:cs="Arial"/>
        </w:rPr>
        <w:t xml:space="preserve">For trade unions and our members, </w:t>
      </w:r>
      <w:r w:rsidR="0072714B">
        <w:rPr>
          <w:rFonts w:cs="Arial"/>
        </w:rPr>
        <w:t>this</w:t>
      </w:r>
      <w:r w:rsidR="002210AF" w:rsidRPr="00827762">
        <w:rPr>
          <w:rFonts w:cs="Arial"/>
        </w:rPr>
        <w:t xml:space="preserve"> is measured in their ability to protect and improve jobs, incomes and working conditions.</w:t>
      </w:r>
    </w:p>
    <w:p w:rsidR="002210AF" w:rsidRPr="00827762" w:rsidRDefault="002210AF" w:rsidP="00827762">
      <w:pPr>
        <w:rPr>
          <w:rFonts w:cs="Arial"/>
        </w:rPr>
      </w:pPr>
    </w:p>
    <w:p w:rsidR="0010165D" w:rsidRPr="00827762" w:rsidRDefault="002210AF" w:rsidP="00827762">
      <w:pPr>
        <w:rPr>
          <w:rFonts w:cs="Arial"/>
        </w:rPr>
      </w:pPr>
      <w:r w:rsidRPr="00827762">
        <w:rPr>
          <w:rFonts w:cs="Arial"/>
        </w:rPr>
        <w:t>We also value the broader contribution they have made</w:t>
      </w:r>
      <w:r w:rsidR="0010165D" w:rsidRPr="00827762">
        <w:rPr>
          <w:rFonts w:cs="Arial"/>
        </w:rPr>
        <w:t xml:space="preserve"> in terms of fiscal</w:t>
      </w:r>
      <w:r w:rsidRPr="00827762">
        <w:rPr>
          <w:rFonts w:cs="Arial"/>
        </w:rPr>
        <w:t xml:space="preserve"> sustainability, social stability, and </w:t>
      </w:r>
      <w:r w:rsidR="00E00E5C">
        <w:rPr>
          <w:rFonts w:cs="Arial"/>
        </w:rPr>
        <w:t xml:space="preserve">the </w:t>
      </w:r>
      <w:r w:rsidRPr="00827762">
        <w:rPr>
          <w:rFonts w:cs="Arial"/>
        </w:rPr>
        <w:t xml:space="preserve">certainty </w:t>
      </w:r>
      <w:r w:rsidR="00E00E5C">
        <w:rPr>
          <w:rFonts w:cs="Arial"/>
        </w:rPr>
        <w:t xml:space="preserve">they bring to </w:t>
      </w:r>
      <w:r w:rsidRPr="00827762">
        <w:rPr>
          <w:rFonts w:cs="Arial"/>
        </w:rPr>
        <w:t xml:space="preserve">the provision of </w:t>
      </w:r>
      <w:r w:rsidR="0010165D" w:rsidRPr="00827762">
        <w:rPr>
          <w:rFonts w:cs="Arial"/>
        </w:rPr>
        <w:t>public service</w:t>
      </w:r>
      <w:r w:rsidR="00E00E5C">
        <w:rPr>
          <w:rFonts w:cs="Arial"/>
        </w:rPr>
        <w:t xml:space="preserve">s. This </w:t>
      </w:r>
      <w:r w:rsidRPr="00827762">
        <w:rPr>
          <w:rFonts w:cs="Arial"/>
        </w:rPr>
        <w:t>fundamental contribution</w:t>
      </w:r>
      <w:r w:rsidR="0072714B">
        <w:rPr>
          <w:rFonts w:cs="Arial"/>
        </w:rPr>
        <w:t xml:space="preserve">, to society and the economy, </w:t>
      </w:r>
      <w:r w:rsidRPr="00827762">
        <w:rPr>
          <w:rFonts w:cs="Arial"/>
        </w:rPr>
        <w:t xml:space="preserve">has also </w:t>
      </w:r>
      <w:r w:rsidR="0010165D" w:rsidRPr="00827762">
        <w:rPr>
          <w:rFonts w:cs="Arial"/>
        </w:rPr>
        <w:t xml:space="preserve">been </w:t>
      </w:r>
      <w:r w:rsidRPr="00827762">
        <w:rPr>
          <w:rFonts w:cs="Arial"/>
        </w:rPr>
        <w:t xml:space="preserve">recognised, explicitly or implicitly, </w:t>
      </w:r>
      <w:r w:rsidR="0010165D" w:rsidRPr="00827762">
        <w:rPr>
          <w:rFonts w:cs="Arial"/>
        </w:rPr>
        <w:t>by a very wide range of economic, governmental and societal actors, in good times and in bad, for well over a quarter of a century.</w:t>
      </w:r>
    </w:p>
    <w:p w:rsidR="0010165D" w:rsidRPr="00827762" w:rsidRDefault="0010165D" w:rsidP="00827762">
      <w:pPr>
        <w:rPr>
          <w:rFonts w:cs="Arial"/>
        </w:rPr>
      </w:pPr>
    </w:p>
    <w:p w:rsidR="0010165D" w:rsidRPr="00827762" w:rsidRDefault="002210AF" w:rsidP="00827762">
      <w:pPr>
        <w:rPr>
          <w:rFonts w:cs="Arial"/>
        </w:rPr>
      </w:pPr>
      <w:r w:rsidRPr="00827762">
        <w:rPr>
          <w:rFonts w:cs="Arial"/>
        </w:rPr>
        <w:t xml:space="preserve">Included among them are </w:t>
      </w:r>
      <w:r w:rsidR="0010165D" w:rsidRPr="00827762">
        <w:rPr>
          <w:rFonts w:cs="Arial"/>
        </w:rPr>
        <w:t>major political parties of virtually every hue – certainly once they are in government and responsible for sustaining that certainty and stability – and, in darker times, by the Troika, which never seriously questioned the value of the Croke Park agreement</w:t>
      </w:r>
      <w:r w:rsidR="0072714B">
        <w:rPr>
          <w:rFonts w:cs="Arial"/>
        </w:rPr>
        <w:t>,</w:t>
      </w:r>
      <w:r w:rsidR="0010165D" w:rsidRPr="00827762">
        <w:rPr>
          <w:rFonts w:cs="Arial"/>
        </w:rPr>
        <w:t xml:space="preserve"> even when it </w:t>
      </w:r>
      <w:r w:rsidRPr="00827762">
        <w:rPr>
          <w:rFonts w:cs="Arial"/>
        </w:rPr>
        <w:t xml:space="preserve">became </w:t>
      </w:r>
      <w:r w:rsidR="0010165D" w:rsidRPr="00827762">
        <w:rPr>
          <w:rFonts w:cs="Arial"/>
        </w:rPr>
        <w:t>received wisdom among commentators that the deal could n</w:t>
      </w:r>
      <w:r w:rsidR="00073D48" w:rsidRPr="00827762">
        <w:rPr>
          <w:rFonts w:cs="Arial"/>
        </w:rPr>
        <w:t>ot survive the bail-out</w:t>
      </w:r>
      <w:r w:rsidRPr="00827762">
        <w:rPr>
          <w:rFonts w:cs="Arial"/>
        </w:rPr>
        <w:t xml:space="preserve"> and the economic adjustment that followed</w:t>
      </w:r>
      <w:r w:rsidR="00073D48" w:rsidRPr="00827762">
        <w:rPr>
          <w:rFonts w:cs="Arial"/>
        </w:rPr>
        <w:t>.</w:t>
      </w:r>
    </w:p>
    <w:p w:rsidR="00073D48" w:rsidRPr="00827762" w:rsidRDefault="00073D48" w:rsidP="00827762">
      <w:pPr>
        <w:rPr>
          <w:rFonts w:cs="Arial"/>
        </w:rPr>
      </w:pPr>
    </w:p>
    <w:p w:rsidR="00073D48" w:rsidRPr="00827762" w:rsidRDefault="00073D48" w:rsidP="00827762">
      <w:pPr>
        <w:rPr>
          <w:rFonts w:cs="Arial"/>
        </w:rPr>
      </w:pPr>
      <w:r w:rsidRPr="00827762">
        <w:rPr>
          <w:rFonts w:cs="Arial"/>
        </w:rPr>
        <w:t xml:space="preserve">This long-standing support for our </w:t>
      </w:r>
      <w:r w:rsidR="00E00E5C">
        <w:rPr>
          <w:rFonts w:cs="Arial"/>
        </w:rPr>
        <w:t>effective</w:t>
      </w:r>
      <w:r w:rsidRPr="00827762">
        <w:rPr>
          <w:rFonts w:cs="Arial"/>
        </w:rPr>
        <w:t xml:space="preserve"> approach to public service pay and IR has rested, in large part, on its capacity to change direction when the fiscal or industrial circumstances</w:t>
      </w:r>
      <w:r w:rsidR="002210AF" w:rsidRPr="00827762">
        <w:rPr>
          <w:rFonts w:cs="Arial"/>
        </w:rPr>
        <w:t xml:space="preserve"> demand</w:t>
      </w:r>
      <w:r w:rsidR="00E00E5C">
        <w:rPr>
          <w:rFonts w:cs="Arial"/>
        </w:rPr>
        <w:t>ed it</w:t>
      </w:r>
      <w:r w:rsidRPr="00827762">
        <w:rPr>
          <w:rFonts w:cs="Arial"/>
        </w:rPr>
        <w:t xml:space="preserve">. Sometimes this has happened gradually; other times – as we’ve experienced in the last decade – it has been </w:t>
      </w:r>
      <w:r w:rsidR="002210AF" w:rsidRPr="00827762">
        <w:rPr>
          <w:rFonts w:cs="Arial"/>
        </w:rPr>
        <w:t xml:space="preserve">drastic, </w:t>
      </w:r>
      <w:r w:rsidRPr="00827762">
        <w:rPr>
          <w:rFonts w:cs="Arial"/>
        </w:rPr>
        <w:t>sudden</w:t>
      </w:r>
      <w:r w:rsidR="002210AF" w:rsidRPr="00827762">
        <w:rPr>
          <w:rFonts w:cs="Arial"/>
        </w:rPr>
        <w:t xml:space="preserve"> and painful</w:t>
      </w:r>
      <w:r w:rsidRPr="00827762">
        <w:rPr>
          <w:rFonts w:cs="Arial"/>
        </w:rPr>
        <w:t>.</w:t>
      </w:r>
    </w:p>
    <w:p w:rsidR="00073D48" w:rsidRPr="00827762" w:rsidRDefault="00073D48" w:rsidP="00827762">
      <w:pPr>
        <w:rPr>
          <w:rFonts w:cs="Arial"/>
        </w:rPr>
      </w:pPr>
    </w:p>
    <w:p w:rsidR="00073D48" w:rsidRPr="00827762" w:rsidRDefault="00073D48" w:rsidP="00827762">
      <w:pPr>
        <w:rPr>
          <w:rFonts w:cs="Arial"/>
        </w:rPr>
      </w:pPr>
      <w:r w:rsidRPr="00827762">
        <w:rPr>
          <w:rFonts w:cs="Arial"/>
        </w:rPr>
        <w:t>I believe it is now time for another change in direction.</w:t>
      </w:r>
    </w:p>
    <w:p w:rsidR="008E7844" w:rsidRPr="00827762" w:rsidRDefault="008E7844" w:rsidP="00827762">
      <w:pPr>
        <w:rPr>
          <w:rFonts w:cs="Arial"/>
        </w:rPr>
      </w:pPr>
    </w:p>
    <w:p w:rsidR="008E7844" w:rsidRPr="00827762" w:rsidRDefault="008E7844" w:rsidP="00827762">
      <w:pPr>
        <w:rPr>
          <w:rFonts w:cs="Arial"/>
        </w:rPr>
      </w:pPr>
      <w:r w:rsidRPr="00827762">
        <w:rPr>
          <w:rFonts w:cs="Arial"/>
        </w:rPr>
        <w:t>Before I</w:t>
      </w:r>
      <w:r w:rsidR="00E00E5C">
        <w:rPr>
          <w:rFonts w:cs="Arial"/>
        </w:rPr>
        <w:t xml:space="preserve"> develop</w:t>
      </w:r>
      <w:r w:rsidRPr="00827762">
        <w:rPr>
          <w:rFonts w:cs="Arial"/>
        </w:rPr>
        <w:t xml:space="preserve"> that point, I want to interrogate the phrase ‘one-size-fits-all’ in the title of this session. I think this is misnomer, which has become imbedded because the headline pay increases in public service agreements have often – though not always – been of ‘one size’.</w:t>
      </w:r>
    </w:p>
    <w:p w:rsidR="008E7844" w:rsidRPr="00827762" w:rsidRDefault="008E7844" w:rsidP="00827762">
      <w:pPr>
        <w:rPr>
          <w:rFonts w:cs="Arial"/>
        </w:rPr>
      </w:pPr>
    </w:p>
    <w:p w:rsidR="00E00E5C" w:rsidRDefault="00AE4E67" w:rsidP="00827762">
      <w:pPr>
        <w:rPr>
          <w:rFonts w:cs="Arial"/>
        </w:rPr>
      </w:pPr>
      <w:r w:rsidRPr="00827762">
        <w:rPr>
          <w:rFonts w:cs="Arial"/>
        </w:rPr>
        <w:t>While it is true to say that all public servants were subjected</w:t>
      </w:r>
      <w:r w:rsidR="00E00E5C">
        <w:rPr>
          <w:rFonts w:cs="Arial"/>
        </w:rPr>
        <w:t xml:space="preserve"> to the FEMPI measures together, the fact is that we have not had – and do not have – a ‘one-size-fits-all’ model.</w:t>
      </w:r>
    </w:p>
    <w:p w:rsidR="00E00E5C" w:rsidRDefault="00E00E5C" w:rsidP="00827762">
      <w:pPr>
        <w:rPr>
          <w:rFonts w:cs="Arial"/>
        </w:rPr>
      </w:pPr>
    </w:p>
    <w:p w:rsidR="00CD753A" w:rsidRDefault="00CD753A">
      <w:pPr>
        <w:rPr>
          <w:rFonts w:cs="Arial"/>
        </w:rPr>
      </w:pPr>
      <w:r>
        <w:rPr>
          <w:rFonts w:cs="Arial"/>
        </w:rPr>
        <w:br w:type="page"/>
      </w:r>
    </w:p>
    <w:p w:rsidR="00A67203" w:rsidRPr="00827762" w:rsidRDefault="00E00E5C" w:rsidP="00827762">
      <w:pPr>
        <w:rPr>
          <w:rFonts w:cs="Arial"/>
        </w:rPr>
      </w:pPr>
      <w:r>
        <w:rPr>
          <w:rFonts w:cs="Arial"/>
        </w:rPr>
        <w:lastRenderedPageBreak/>
        <w:t>This is historically the case. And, i</w:t>
      </w:r>
      <w:r w:rsidR="00AE4E67" w:rsidRPr="00827762">
        <w:rPr>
          <w:rFonts w:cs="Arial"/>
        </w:rPr>
        <w:t xml:space="preserve">n recent </w:t>
      </w:r>
      <w:r>
        <w:rPr>
          <w:rFonts w:cs="Arial"/>
        </w:rPr>
        <w:t>times</w:t>
      </w:r>
      <w:r w:rsidR="00AE4E67" w:rsidRPr="00827762">
        <w:rPr>
          <w:rFonts w:cs="Arial"/>
        </w:rPr>
        <w:t>,</w:t>
      </w:r>
      <w:r w:rsidR="00A67203" w:rsidRPr="00827762">
        <w:rPr>
          <w:rFonts w:cs="Arial"/>
        </w:rPr>
        <w:t xml:space="preserve"> </w:t>
      </w:r>
      <w:r>
        <w:rPr>
          <w:rFonts w:cs="Arial"/>
        </w:rPr>
        <w:t xml:space="preserve">public service agreements have </w:t>
      </w:r>
      <w:r w:rsidR="00A67203" w:rsidRPr="00827762">
        <w:rPr>
          <w:rFonts w:cs="Arial"/>
        </w:rPr>
        <w:t>seen significant chang</w:t>
      </w:r>
      <w:r>
        <w:rPr>
          <w:rFonts w:cs="Arial"/>
        </w:rPr>
        <w:t xml:space="preserve">es in the treatment of pensions, </w:t>
      </w:r>
      <w:r w:rsidR="00A67203" w:rsidRPr="00827762">
        <w:rPr>
          <w:rFonts w:cs="Arial"/>
        </w:rPr>
        <w:t xml:space="preserve">pay, </w:t>
      </w:r>
      <w:r>
        <w:rPr>
          <w:rFonts w:cs="Arial"/>
        </w:rPr>
        <w:t xml:space="preserve">and working conditions, many of </w:t>
      </w:r>
      <w:r w:rsidR="00A67203" w:rsidRPr="00827762">
        <w:rPr>
          <w:rFonts w:cs="Arial"/>
        </w:rPr>
        <w:t xml:space="preserve">which </w:t>
      </w:r>
      <w:r>
        <w:rPr>
          <w:rFonts w:cs="Arial"/>
        </w:rPr>
        <w:t xml:space="preserve">have </w:t>
      </w:r>
      <w:r w:rsidR="00A67203" w:rsidRPr="00827762">
        <w:rPr>
          <w:rFonts w:cs="Arial"/>
        </w:rPr>
        <w:t xml:space="preserve">applied </w:t>
      </w:r>
      <w:r>
        <w:rPr>
          <w:rFonts w:cs="Arial"/>
        </w:rPr>
        <w:t>in quite different ways across the public sector workforce</w:t>
      </w:r>
      <w:r w:rsidR="00A67203" w:rsidRPr="00827762">
        <w:rPr>
          <w:rFonts w:cs="Arial"/>
        </w:rPr>
        <w:t>.</w:t>
      </w:r>
    </w:p>
    <w:p w:rsidR="00A67203" w:rsidRPr="00827762" w:rsidRDefault="00A67203" w:rsidP="00827762">
      <w:pPr>
        <w:rPr>
          <w:rFonts w:cs="Arial"/>
        </w:rPr>
      </w:pPr>
    </w:p>
    <w:p w:rsidR="008E7844" w:rsidRPr="00827762" w:rsidRDefault="00D06515" w:rsidP="00827762">
      <w:pPr>
        <w:rPr>
          <w:rFonts w:cs="Arial"/>
        </w:rPr>
      </w:pPr>
      <w:r>
        <w:rPr>
          <w:rFonts w:cs="Arial"/>
        </w:rPr>
        <w:t>For example, t</w:t>
      </w:r>
      <w:r w:rsidR="008E7844" w:rsidRPr="00827762">
        <w:rPr>
          <w:rFonts w:cs="Arial"/>
        </w:rPr>
        <w:t xml:space="preserve">he Haddington Road Agreement included temporary pay cuts for </w:t>
      </w:r>
      <w:r w:rsidR="00A67203" w:rsidRPr="00827762">
        <w:rPr>
          <w:rFonts w:cs="Arial"/>
        </w:rPr>
        <w:t>higher-paid staff</w:t>
      </w:r>
      <w:r w:rsidR="008E7844" w:rsidRPr="00827762">
        <w:rPr>
          <w:rFonts w:cs="Arial"/>
        </w:rPr>
        <w:t xml:space="preserve">, which didn’t apply to others. </w:t>
      </w:r>
    </w:p>
    <w:p w:rsidR="008E7844" w:rsidRPr="00827762" w:rsidRDefault="008E7844" w:rsidP="00827762">
      <w:pPr>
        <w:rPr>
          <w:rFonts w:cs="Arial"/>
        </w:rPr>
      </w:pPr>
    </w:p>
    <w:p w:rsidR="008E7844" w:rsidRPr="00827762" w:rsidRDefault="008E7844" w:rsidP="00827762">
      <w:pPr>
        <w:rPr>
          <w:rFonts w:cs="Arial"/>
        </w:rPr>
      </w:pPr>
      <w:r w:rsidRPr="00827762">
        <w:rPr>
          <w:rFonts w:cs="Arial"/>
        </w:rPr>
        <w:t xml:space="preserve">It also included </w:t>
      </w:r>
      <w:r w:rsidR="00A67203" w:rsidRPr="00827762">
        <w:rPr>
          <w:rFonts w:cs="Arial"/>
        </w:rPr>
        <w:t>(</w:t>
      </w:r>
      <w:r w:rsidRPr="00827762">
        <w:rPr>
          <w:rFonts w:cs="Arial"/>
        </w:rPr>
        <w:t>what the official side sees as permanent</w:t>
      </w:r>
      <w:r w:rsidR="00A67203" w:rsidRPr="00827762">
        <w:rPr>
          <w:rFonts w:cs="Arial"/>
        </w:rPr>
        <w:t>)</w:t>
      </w:r>
      <w:r w:rsidRPr="00827762">
        <w:rPr>
          <w:rFonts w:cs="Arial"/>
        </w:rPr>
        <w:t xml:space="preserve"> increased working time for </w:t>
      </w:r>
      <w:r w:rsidR="00A67203" w:rsidRPr="00827762">
        <w:rPr>
          <w:rFonts w:cs="Arial"/>
        </w:rPr>
        <w:t xml:space="preserve">very </w:t>
      </w:r>
      <w:r w:rsidRPr="00827762">
        <w:rPr>
          <w:rFonts w:cs="Arial"/>
        </w:rPr>
        <w:t xml:space="preserve">many – though not all – </w:t>
      </w:r>
      <w:r w:rsidR="00A67203" w:rsidRPr="00827762">
        <w:rPr>
          <w:rFonts w:cs="Arial"/>
        </w:rPr>
        <w:t xml:space="preserve">public servants. This is </w:t>
      </w:r>
      <w:r w:rsidRPr="00827762">
        <w:rPr>
          <w:rFonts w:cs="Arial"/>
        </w:rPr>
        <w:t xml:space="preserve">an issue that still rankles, and which can and must be addressed, not least in the context of broader debates about working time </w:t>
      </w:r>
      <w:r w:rsidR="00FA4089" w:rsidRPr="00827762">
        <w:rPr>
          <w:rFonts w:cs="Arial"/>
        </w:rPr>
        <w:t>as new technologies impact on work practices and employment.</w:t>
      </w:r>
    </w:p>
    <w:p w:rsidR="008E7844" w:rsidRPr="00827762" w:rsidRDefault="008E7844" w:rsidP="00827762">
      <w:pPr>
        <w:rPr>
          <w:rFonts w:cs="Arial"/>
        </w:rPr>
      </w:pPr>
    </w:p>
    <w:p w:rsidR="00D06515" w:rsidRDefault="00AE4E67" w:rsidP="00827762">
      <w:pPr>
        <w:rPr>
          <w:rFonts w:cs="Arial"/>
        </w:rPr>
      </w:pPr>
      <w:r w:rsidRPr="00827762">
        <w:rPr>
          <w:rFonts w:cs="Arial"/>
        </w:rPr>
        <w:t xml:space="preserve">Throughout the </w:t>
      </w:r>
      <w:r w:rsidR="00FA4089" w:rsidRPr="00827762">
        <w:rPr>
          <w:rFonts w:cs="Arial"/>
        </w:rPr>
        <w:t>crisis period</w:t>
      </w:r>
      <w:r w:rsidRPr="00827762">
        <w:rPr>
          <w:rFonts w:cs="Arial"/>
        </w:rPr>
        <w:t xml:space="preserve"> and after</w:t>
      </w:r>
      <w:r w:rsidR="00FA4089" w:rsidRPr="00827762">
        <w:rPr>
          <w:rFonts w:cs="Arial"/>
        </w:rPr>
        <w:t>, agreements included many other</w:t>
      </w:r>
      <w:r w:rsidR="008E7844" w:rsidRPr="00827762">
        <w:rPr>
          <w:rFonts w:cs="Arial"/>
        </w:rPr>
        <w:t xml:space="preserve"> measures intended to eliminate, contain or obviate costs, </w:t>
      </w:r>
      <w:r w:rsidR="00FA4089" w:rsidRPr="00827762">
        <w:rPr>
          <w:rFonts w:cs="Arial"/>
        </w:rPr>
        <w:t xml:space="preserve">which </w:t>
      </w:r>
      <w:r w:rsidR="008E7844" w:rsidRPr="00827762">
        <w:rPr>
          <w:rFonts w:cs="Arial"/>
        </w:rPr>
        <w:t xml:space="preserve">impacted on sectors and grades, groups and categories of workers </w:t>
      </w:r>
      <w:r w:rsidR="00FA4089" w:rsidRPr="00827762">
        <w:rPr>
          <w:rFonts w:cs="Arial"/>
        </w:rPr>
        <w:t>in sometimes radically different ways</w:t>
      </w:r>
      <w:r w:rsidR="008E7844" w:rsidRPr="00827762">
        <w:rPr>
          <w:rFonts w:cs="Arial"/>
        </w:rPr>
        <w:t>.</w:t>
      </w:r>
      <w:r w:rsidRPr="00827762">
        <w:rPr>
          <w:rFonts w:cs="Arial"/>
        </w:rPr>
        <w:t xml:space="preserve"> </w:t>
      </w:r>
    </w:p>
    <w:p w:rsidR="00D06515" w:rsidRDefault="00D06515" w:rsidP="00827762">
      <w:pPr>
        <w:rPr>
          <w:rFonts w:cs="Arial"/>
        </w:rPr>
      </w:pPr>
    </w:p>
    <w:p w:rsidR="008E7844" w:rsidRPr="00827762" w:rsidRDefault="00AE4E67" w:rsidP="00827762">
      <w:pPr>
        <w:rPr>
          <w:rFonts w:cs="Arial"/>
        </w:rPr>
      </w:pPr>
      <w:r w:rsidRPr="00827762">
        <w:rPr>
          <w:rFonts w:cs="Arial"/>
        </w:rPr>
        <w:t>Most recently the PSSA introduced the distinction between covered and non-covered public servants, though this has failed to make a telling impact on the conduct of industrial relations.</w:t>
      </w:r>
    </w:p>
    <w:p w:rsidR="008E7844" w:rsidRPr="00827762" w:rsidRDefault="008E7844" w:rsidP="00827762">
      <w:pPr>
        <w:rPr>
          <w:rFonts w:cs="Arial"/>
        </w:rPr>
      </w:pPr>
    </w:p>
    <w:p w:rsidR="006107C2" w:rsidRPr="00827762" w:rsidRDefault="006107C2" w:rsidP="00827762">
      <w:pPr>
        <w:rPr>
          <w:rFonts w:cs="Arial"/>
        </w:rPr>
      </w:pPr>
      <w:r w:rsidRPr="00827762">
        <w:rPr>
          <w:rFonts w:cs="Arial"/>
        </w:rPr>
        <w:t xml:space="preserve">Workers accepted </w:t>
      </w:r>
      <w:r w:rsidR="00D06515">
        <w:rPr>
          <w:rFonts w:cs="Arial"/>
        </w:rPr>
        <w:t xml:space="preserve">– rather than welcomed – many of </w:t>
      </w:r>
      <w:r w:rsidR="00052CB8">
        <w:rPr>
          <w:rFonts w:cs="Arial"/>
        </w:rPr>
        <w:t>these measures because they wer</w:t>
      </w:r>
      <w:r w:rsidRPr="00827762">
        <w:rPr>
          <w:rFonts w:cs="Arial"/>
        </w:rPr>
        <w:t>e convinced of their necessity. But if those bound by an agreement are no longer convinced of its intrinsic merits – of its fairness, of the necessity of its measures, and of the mutuality of its obligations</w:t>
      </w:r>
      <w:r w:rsidR="0072714B">
        <w:rPr>
          <w:rFonts w:cs="Arial"/>
        </w:rPr>
        <w:t xml:space="preserve"> – then </w:t>
      </w:r>
      <w:r w:rsidRPr="00827762">
        <w:rPr>
          <w:rFonts w:cs="Arial"/>
        </w:rPr>
        <w:t xml:space="preserve">trouble is inevitable. </w:t>
      </w:r>
    </w:p>
    <w:p w:rsidR="006107C2" w:rsidRPr="00827762" w:rsidRDefault="006107C2" w:rsidP="00827762">
      <w:pPr>
        <w:rPr>
          <w:rFonts w:cs="Arial"/>
        </w:rPr>
      </w:pPr>
    </w:p>
    <w:p w:rsidR="00EA6432" w:rsidRPr="00827762" w:rsidRDefault="006107C2" w:rsidP="00827762">
      <w:pPr>
        <w:rPr>
          <w:rFonts w:cs="Arial"/>
        </w:rPr>
      </w:pPr>
      <w:r w:rsidRPr="00827762">
        <w:rPr>
          <w:rFonts w:cs="Arial"/>
        </w:rPr>
        <w:t>When the credibility of the process is stretched</w:t>
      </w:r>
      <w:r w:rsidR="00EA6432" w:rsidRPr="00827762">
        <w:rPr>
          <w:rFonts w:cs="Arial"/>
        </w:rPr>
        <w:t xml:space="preserve"> – for one or more of </w:t>
      </w:r>
      <w:r w:rsidR="00E82764">
        <w:rPr>
          <w:rFonts w:cs="Arial"/>
        </w:rPr>
        <w:t>its many</w:t>
      </w:r>
      <w:r w:rsidR="00EA6432" w:rsidRPr="00827762">
        <w:rPr>
          <w:rFonts w:cs="Arial"/>
        </w:rPr>
        <w:t xml:space="preserve"> stakeholders – the </w:t>
      </w:r>
      <w:r w:rsidRPr="00827762">
        <w:rPr>
          <w:rFonts w:cs="Arial"/>
        </w:rPr>
        <w:t>model itself becomes strained</w:t>
      </w:r>
      <w:r w:rsidR="00E82764">
        <w:rPr>
          <w:rFonts w:cs="Arial"/>
        </w:rPr>
        <w:t>,</w:t>
      </w:r>
      <w:r w:rsidR="00EA6432" w:rsidRPr="00827762">
        <w:rPr>
          <w:rFonts w:cs="Arial"/>
        </w:rPr>
        <w:t xml:space="preserve"> and instability follows</w:t>
      </w:r>
      <w:r w:rsidRPr="00827762">
        <w:rPr>
          <w:rFonts w:cs="Arial"/>
        </w:rPr>
        <w:t xml:space="preserve">. </w:t>
      </w:r>
      <w:r w:rsidR="00EA6432" w:rsidRPr="00827762">
        <w:rPr>
          <w:rFonts w:cs="Arial"/>
        </w:rPr>
        <w:t xml:space="preserve">We have seen this in the past: The PCW grade claims of the late 1990s; </w:t>
      </w:r>
      <w:r w:rsidR="00D06515">
        <w:rPr>
          <w:rFonts w:cs="Arial"/>
        </w:rPr>
        <w:t xml:space="preserve">benchmarking; </w:t>
      </w:r>
      <w:r w:rsidR="00EA6432" w:rsidRPr="00827762">
        <w:rPr>
          <w:rFonts w:cs="Arial"/>
        </w:rPr>
        <w:t xml:space="preserve">the crisis cuts of 2009 and early 2010; the fallout from the 2016 Garda Labour Court recommendation; even, I would argue, the experience of Croke Park II (which failed to win the support of </w:t>
      </w:r>
      <w:r w:rsidR="00E82764">
        <w:rPr>
          <w:rFonts w:cs="Arial"/>
        </w:rPr>
        <w:t xml:space="preserve">a majority of </w:t>
      </w:r>
      <w:r w:rsidR="00EA6432" w:rsidRPr="00827762">
        <w:rPr>
          <w:rFonts w:cs="Arial"/>
        </w:rPr>
        <w:t>union members) and some of the measures contained in the Haddington Road Agreement.</w:t>
      </w:r>
    </w:p>
    <w:p w:rsidR="00EA6432" w:rsidRPr="00827762" w:rsidRDefault="00EA6432" w:rsidP="00827762">
      <w:pPr>
        <w:rPr>
          <w:rFonts w:cs="Arial"/>
        </w:rPr>
      </w:pPr>
      <w:r w:rsidRPr="00827762">
        <w:rPr>
          <w:rFonts w:cs="Arial"/>
        </w:rPr>
        <w:t xml:space="preserve"> </w:t>
      </w:r>
    </w:p>
    <w:p w:rsidR="006107C2" w:rsidRDefault="00D06515" w:rsidP="00827762">
      <w:pPr>
        <w:rPr>
          <w:rFonts w:cs="Arial"/>
        </w:rPr>
      </w:pPr>
      <w:r>
        <w:rPr>
          <w:rFonts w:cs="Arial"/>
        </w:rPr>
        <w:t xml:space="preserve">Now, the </w:t>
      </w:r>
      <w:r w:rsidR="006107C2" w:rsidRPr="00827762">
        <w:rPr>
          <w:rFonts w:cs="Arial"/>
        </w:rPr>
        <w:t xml:space="preserve">credibility of the current agreement is being stretched </w:t>
      </w:r>
      <w:r>
        <w:rPr>
          <w:rFonts w:cs="Arial"/>
        </w:rPr>
        <w:t xml:space="preserve">by </w:t>
      </w:r>
      <w:r w:rsidR="006107C2" w:rsidRPr="00827762">
        <w:rPr>
          <w:rFonts w:cs="Arial"/>
        </w:rPr>
        <w:t>t</w:t>
      </w:r>
      <w:r w:rsidR="00EA6432" w:rsidRPr="00827762">
        <w:rPr>
          <w:rFonts w:cs="Arial"/>
        </w:rPr>
        <w:t xml:space="preserve">wo </w:t>
      </w:r>
      <w:r w:rsidR="006107C2" w:rsidRPr="00827762">
        <w:rPr>
          <w:rFonts w:cs="Arial"/>
        </w:rPr>
        <w:t xml:space="preserve">important </w:t>
      </w:r>
      <w:r>
        <w:rPr>
          <w:rFonts w:cs="Arial"/>
        </w:rPr>
        <w:t>factors</w:t>
      </w:r>
      <w:r w:rsidR="006107C2" w:rsidRPr="00827762">
        <w:rPr>
          <w:rFonts w:cs="Arial"/>
        </w:rPr>
        <w:t xml:space="preserve">, which </w:t>
      </w:r>
      <w:r w:rsidR="00AE4E67" w:rsidRPr="00827762">
        <w:rPr>
          <w:rFonts w:cs="Arial"/>
        </w:rPr>
        <w:t xml:space="preserve">have taken root over the last decade, and which now </w:t>
      </w:r>
      <w:r w:rsidR="006107C2" w:rsidRPr="00827762">
        <w:rPr>
          <w:rFonts w:cs="Arial"/>
        </w:rPr>
        <w:t>need to be</w:t>
      </w:r>
      <w:r w:rsidR="00AE4E67" w:rsidRPr="00827762">
        <w:rPr>
          <w:rFonts w:cs="Arial"/>
        </w:rPr>
        <w:t xml:space="preserve"> addressed. </w:t>
      </w:r>
      <w:r>
        <w:rPr>
          <w:rFonts w:cs="Arial"/>
        </w:rPr>
        <w:t xml:space="preserve">One is the </w:t>
      </w:r>
      <w:r w:rsidR="00EA6432" w:rsidRPr="00827762">
        <w:rPr>
          <w:rFonts w:cs="Arial"/>
        </w:rPr>
        <w:t>spending power</w:t>
      </w:r>
      <w:r>
        <w:rPr>
          <w:rFonts w:cs="Arial"/>
        </w:rPr>
        <w:t xml:space="preserve"> of incomes after living costs are factored in; the other is </w:t>
      </w:r>
      <w:r w:rsidR="00EA6432" w:rsidRPr="00827762">
        <w:rPr>
          <w:rFonts w:cs="Arial"/>
        </w:rPr>
        <w:t>the scope for the agreement to respond to profession-specific and grade-specific issues and ambitions.</w:t>
      </w:r>
    </w:p>
    <w:p w:rsidR="00D06515" w:rsidRDefault="00D06515" w:rsidP="00827762">
      <w:pPr>
        <w:rPr>
          <w:rFonts w:cs="Arial"/>
        </w:rPr>
      </w:pPr>
    </w:p>
    <w:p w:rsidR="00D06515" w:rsidRPr="00827762" w:rsidRDefault="00D06515" w:rsidP="00D06515">
      <w:pPr>
        <w:rPr>
          <w:rFonts w:cs="Arial"/>
        </w:rPr>
      </w:pPr>
      <w:r>
        <w:rPr>
          <w:rFonts w:cs="Arial"/>
        </w:rPr>
        <w:t xml:space="preserve">This means that a </w:t>
      </w:r>
      <w:r w:rsidRPr="00827762">
        <w:rPr>
          <w:rFonts w:cs="Arial"/>
        </w:rPr>
        <w:t>paradigm shift, involving a greater recognition of the generalised loss of spending power, and the need for a mechanism to review individual grades, groups and categories, is urgently required. Otherwise a raft of relativity, productivity and change-related claims – and the potential for industrial unrest that, historically, has accompanied them – seems almost certain.</w:t>
      </w:r>
    </w:p>
    <w:p w:rsidR="00D06515" w:rsidRPr="00827762" w:rsidRDefault="00D06515" w:rsidP="00827762">
      <w:pPr>
        <w:rPr>
          <w:rFonts w:cs="Arial"/>
        </w:rPr>
      </w:pPr>
    </w:p>
    <w:p w:rsidR="00CD753A" w:rsidRDefault="00CD753A">
      <w:pPr>
        <w:rPr>
          <w:rFonts w:cs="Arial"/>
        </w:rPr>
      </w:pPr>
      <w:r>
        <w:rPr>
          <w:rFonts w:cs="Arial"/>
        </w:rPr>
        <w:br w:type="page"/>
      </w:r>
    </w:p>
    <w:p w:rsidR="00D06515" w:rsidRDefault="00AE4E67" w:rsidP="00827762">
      <w:pPr>
        <w:rPr>
          <w:rFonts w:cs="Arial"/>
        </w:rPr>
      </w:pPr>
      <w:r w:rsidRPr="00827762">
        <w:rPr>
          <w:rFonts w:cs="Arial"/>
        </w:rPr>
        <w:lastRenderedPageBreak/>
        <w:t xml:space="preserve">The important distinctions between workers’ </w:t>
      </w:r>
      <w:r w:rsidR="00D06515">
        <w:rPr>
          <w:rFonts w:cs="Arial"/>
        </w:rPr>
        <w:t xml:space="preserve">different </w:t>
      </w:r>
      <w:r w:rsidRPr="00827762">
        <w:rPr>
          <w:rFonts w:cs="Arial"/>
        </w:rPr>
        <w:t xml:space="preserve">experiences of recent agreements, which I </w:t>
      </w:r>
      <w:r w:rsidR="00D06515">
        <w:rPr>
          <w:rFonts w:cs="Arial"/>
        </w:rPr>
        <w:t>have mentioned</w:t>
      </w:r>
      <w:r w:rsidRPr="00827762">
        <w:rPr>
          <w:rFonts w:cs="Arial"/>
        </w:rPr>
        <w:t xml:space="preserve">, complicate </w:t>
      </w:r>
      <w:r w:rsidR="00194F5A" w:rsidRPr="00827762">
        <w:rPr>
          <w:rFonts w:cs="Arial"/>
        </w:rPr>
        <w:t>the process</w:t>
      </w:r>
      <w:r w:rsidR="00E82764">
        <w:rPr>
          <w:rFonts w:cs="Arial"/>
        </w:rPr>
        <w:t>,</w:t>
      </w:r>
      <w:r w:rsidR="00194F5A" w:rsidRPr="00827762">
        <w:rPr>
          <w:rFonts w:cs="Arial"/>
        </w:rPr>
        <w:t xml:space="preserve"> and can lead to differences of</w:t>
      </w:r>
      <w:r w:rsidRPr="00827762">
        <w:rPr>
          <w:rFonts w:cs="Arial"/>
        </w:rPr>
        <w:t xml:space="preserve"> emphasis between trade unions.</w:t>
      </w:r>
      <w:r w:rsidR="00C80BB4" w:rsidRPr="00827762">
        <w:rPr>
          <w:rFonts w:cs="Arial"/>
        </w:rPr>
        <w:t xml:space="preserve"> </w:t>
      </w:r>
      <w:r w:rsidRPr="00827762">
        <w:rPr>
          <w:rFonts w:cs="Arial"/>
        </w:rPr>
        <w:t>But all</w:t>
      </w:r>
      <w:r w:rsidR="00D06515">
        <w:rPr>
          <w:rFonts w:cs="Arial"/>
        </w:rPr>
        <w:t xml:space="preserve"> the</w:t>
      </w:r>
      <w:r w:rsidR="00194F5A" w:rsidRPr="00827762">
        <w:rPr>
          <w:rFonts w:cs="Arial"/>
        </w:rPr>
        <w:t xml:space="preserve"> grievances </w:t>
      </w:r>
      <w:r w:rsidR="00D06515">
        <w:rPr>
          <w:rFonts w:cs="Arial"/>
        </w:rPr>
        <w:t>I hear</w:t>
      </w:r>
      <w:r w:rsidR="00E82764">
        <w:rPr>
          <w:rFonts w:cs="Arial"/>
        </w:rPr>
        <w:t>,</w:t>
      </w:r>
      <w:r w:rsidR="00D06515">
        <w:rPr>
          <w:rFonts w:cs="Arial"/>
        </w:rPr>
        <w:t xml:space="preserve"> </w:t>
      </w:r>
      <w:r w:rsidR="00E82764">
        <w:rPr>
          <w:rFonts w:cs="Arial"/>
        </w:rPr>
        <w:t xml:space="preserve">in workplaces and union meetings, </w:t>
      </w:r>
      <w:r w:rsidR="00194F5A" w:rsidRPr="00827762">
        <w:rPr>
          <w:rFonts w:cs="Arial"/>
        </w:rPr>
        <w:t>are connected by one thing – the failure of incom</w:t>
      </w:r>
      <w:r w:rsidRPr="00827762">
        <w:rPr>
          <w:rFonts w:cs="Arial"/>
        </w:rPr>
        <w:t xml:space="preserve">es to match the </w:t>
      </w:r>
      <w:r w:rsidR="00D06515">
        <w:rPr>
          <w:rFonts w:cs="Arial"/>
        </w:rPr>
        <w:t xml:space="preserve">rising </w:t>
      </w:r>
      <w:r w:rsidRPr="00827762">
        <w:rPr>
          <w:rFonts w:cs="Arial"/>
        </w:rPr>
        <w:t>cost of living</w:t>
      </w:r>
      <w:r w:rsidR="00D06515">
        <w:rPr>
          <w:rFonts w:cs="Arial"/>
        </w:rPr>
        <w:t xml:space="preserve"> over the last decade</w:t>
      </w:r>
      <w:r w:rsidRPr="00827762">
        <w:rPr>
          <w:rFonts w:cs="Arial"/>
        </w:rPr>
        <w:t>.</w:t>
      </w:r>
    </w:p>
    <w:p w:rsidR="00D06515" w:rsidRDefault="00D06515" w:rsidP="00827762">
      <w:pPr>
        <w:rPr>
          <w:rFonts w:cs="Arial"/>
        </w:rPr>
      </w:pPr>
    </w:p>
    <w:p w:rsidR="00C80BB4" w:rsidRPr="00827762" w:rsidRDefault="00D06515" w:rsidP="00827762">
      <w:pPr>
        <w:rPr>
          <w:rFonts w:cs="Arial"/>
        </w:rPr>
      </w:pPr>
      <w:r>
        <w:rPr>
          <w:rFonts w:cs="Arial"/>
        </w:rPr>
        <w:t>I</w:t>
      </w:r>
      <w:r w:rsidR="00C80BB4" w:rsidRPr="00827762">
        <w:rPr>
          <w:rFonts w:cs="Arial"/>
        </w:rPr>
        <w:t xml:space="preserve">t will simply not be </w:t>
      </w:r>
      <w:r>
        <w:rPr>
          <w:rFonts w:cs="Arial"/>
        </w:rPr>
        <w:t xml:space="preserve">credible </w:t>
      </w:r>
      <w:r w:rsidR="00C80BB4" w:rsidRPr="00827762">
        <w:rPr>
          <w:rFonts w:cs="Arial"/>
        </w:rPr>
        <w:t xml:space="preserve">to </w:t>
      </w:r>
      <w:r>
        <w:rPr>
          <w:rFonts w:cs="Arial"/>
        </w:rPr>
        <w:t xml:space="preserve">seek to </w:t>
      </w:r>
      <w:r w:rsidR="00C80BB4" w:rsidRPr="00827762">
        <w:rPr>
          <w:rFonts w:cs="Arial"/>
        </w:rPr>
        <w:t>continue on the current course without a correction</w:t>
      </w:r>
      <w:r>
        <w:rPr>
          <w:rFonts w:cs="Arial"/>
        </w:rPr>
        <w:t xml:space="preserve"> to this</w:t>
      </w:r>
      <w:r w:rsidR="00C80BB4" w:rsidRPr="00827762">
        <w:rPr>
          <w:rFonts w:cs="Arial"/>
        </w:rPr>
        <w:t xml:space="preserve">. </w:t>
      </w:r>
    </w:p>
    <w:p w:rsidR="00AE4E67" w:rsidRPr="00827762" w:rsidRDefault="00AE4E67" w:rsidP="00827762">
      <w:pPr>
        <w:rPr>
          <w:rFonts w:cs="Arial"/>
        </w:rPr>
      </w:pPr>
    </w:p>
    <w:p w:rsidR="00AE4E67" w:rsidRPr="00827762" w:rsidRDefault="00194F5A" w:rsidP="00827762">
      <w:pPr>
        <w:rPr>
          <w:rFonts w:cs="Arial"/>
        </w:rPr>
      </w:pPr>
      <w:r w:rsidRPr="00827762">
        <w:rPr>
          <w:rFonts w:cs="Arial"/>
        </w:rPr>
        <w:t>The extent to which public servants have suffered</w:t>
      </w:r>
      <w:r w:rsidR="00D06515">
        <w:rPr>
          <w:rFonts w:cs="Arial"/>
        </w:rPr>
        <w:t xml:space="preserve"> reductions in take home pay is </w:t>
      </w:r>
      <w:r w:rsidR="00E82764">
        <w:rPr>
          <w:rFonts w:cs="Arial"/>
        </w:rPr>
        <w:t xml:space="preserve">discussed, though it’s </w:t>
      </w:r>
      <w:r w:rsidRPr="00827762">
        <w:rPr>
          <w:rFonts w:cs="Arial"/>
        </w:rPr>
        <w:t xml:space="preserve">often insufficiently </w:t>
      </w:r>
      <w:r w:rsidR="00D06515">
        <w:rPr>
          <w:rFonts w:cs="Arial"/>
        </w:rPr>
        <w:t>understoo</w:t>
      </w:r>
      <w:r w:rsidRPr="00827762">
        <w:rPr>
          <w:rFonts w:cs="Arial"/>
        </w:rPr>
        <w:t>d</w:t>
      </w:r>
      <w:r w:rsidR="00D06515">
        <w:rPr>
          <w:rFonts w:cs="Arial"/>
        </w:rPr>
        <w:t xml:space="preserve"> or acknowledged</w:t>
      </w:r>
      <w:r w:rsidRPr="00827762">
        <w:rPr>
          <w:rFonts w:cs="Arial"/>
        </w:rPr>
        <w:t xml:space="preserve">. </w:t>
      </w:r>
      <w:r w:rsidR="00D06515">
        <w:rPr>
          <w:rFonts w:cs="Arial"/>
        </w:rPr>
        <w:t>But the</w:t>
      </w:r>
      <w:r w:rsidR="00AE4E67" w:rsidRPr="00827762">
        <w:rPr>
          <w:rFonts w:cs="Arial"/>
        </w:rPr>
        <w:t xml:space="preserve"> </w:t>
      </w:r>
      <w:r w:rsidR="0022472B" w:rsidRPr="00827762">
        <w:rPr>
          <w:rFonts w:cs="Arial"/>
        </w:rPr>
        <w:t>lack</w:t>
      </w:r>
      <w:r w:rsidR="00B071F9" w:rsidRPr="00827762">
        <w:rPr>
          <w:rFonts w:cs="Arial"/>
        </w:rPr>
        <w:t xml:space="preserve"> of compensation for inflation</w:t>
      </w:r>
      <w:r w:rsidR="00AE4E67" w:rsidRPr="00827762">
        <w:rPr>
          <w:rFonts w:cs="Arial"/>
        </w:rPr>
        <w:t xml:space="preserve"> over the last decade</w:t>
      </w:r>
      <w:r w:rsidR="00D06515">
        <w:rPr>
          <w:rFonts w:cs="Arial"/>
        </w:rPr>
        <w:t xml:space="preserve"> </w:t>
      </w:r>
      <w:r w:rsidR="00AE4E67" w:rsidRPr="00827762">
        <w:rPr>
          <w:rFonts w:cs="Arial"/>
        </w:rPr>
        <w:t xml:space="preserve">goes </w:t>
      </w:r>
      <w:r w:rsidR="00D06515">
        <w:rPr>
          <w:rFonts w:cs="Arial"/>
        </w:rPr>
        <w:t xml:space="preserve">entirely </w:t>
      </w:r>
      <w:r w:rsidR="00AE4E67" w:rsidRPr="00827762">
        <w:rPr>
          <w:rFonts w:cs="Arial"/>
        </w:rPr>
        <w:t>unremarked.</w:t>
      </w:r>
    </w:p>
    <w:p w:rsidR="00AE4E67" w:rsidRPr="00827762" w:rsidRDefault="00AE4E67" w:rsidP="00827762">
      <w:pPr>
        <w:rPr>
          <w:rFonts w:cs="Arial"/>
        </w:rPr>
      </w:pPr>
    </w:p>
    <w:p w:rsidR="00AE4E67" w:rsidRPr="00827762" w:rsidRDefault="00D06515" w:rsidP="00827762">
      <w:pPr>
        <w:rPr>
          <w:rFonts w:cs="Arial"/>
        </w:rPr>
      </w:pPr>
      <w:r>
        <w:rPr>
          <w:rFonts w:cs="Arial"/>
        </w:rPr>
        <w:t>Meanwhile, t</w:t>
      </w:r>
      <w:r w:rsidR="00194F5A" w:rsidRPr="00827762">
        <w:rPr>
          <w:rFonts w:cs="Arial"/>
        </w:rPr>
        <w:t>he absence of a process that allow</w:t>
      </w:r>
      <w:r w:rsidR="00AE4E67" w:rsidRPr="00827762">
        <w:rPr>
          <w:rFonts w:cs="Arial"/>
        </w:rPr>
        <w:t>s</w:t>
      </w:r>
      <w:r w:rsidR="00194F5A" w:rsidRPr="00827762">
        <w:rPr>
          <w:rFonts w:cs="Arial"/>
        </w:rPr>
        <w:t xml:space="preserve"> individual groups to advance arguments regarding changes in </w:t>
      </w:r>
      <w:r w:rsidR="00AE4E67" w:rsidRPr="00827762">
        <w:rPr>
          <w:rFonts w:cs="Arial"/>
        </w:rPr>
        <w:t xml:space="preserve">their roles, </w:t>
      </w:r>
      <w:r w:rsidR="00194F5A" w:rsidRPr="00827762">
        <w:rPr>
          <w:rFonts w:cs="Arial"/>
        </w:rPr>
        <w:t>responsibilities</w:t>
      </w:r>
      <w:r w:rsidR="0022472B" w:rsidRPr="00827762">
        <w:rPr>
          <w:rFonts w:cs="Arial"/>
        </w:rPr>
        <w:t xml:space="preserve"> </w:t>
      </w:r>
      <w:r w:rsidR="00AE4E67" w:rsidRPr="00827762">
        <w:rPr>
          <w:rFonts w:cs="Arial"/>
        </w:rPr>
        <w:t xml:space="preserve">and working experiences, has </w:t>
      </w:r>
      <w:r w:rsidR="00194F5A" w:rsidRPr="00827762">
        <w:rPr>
          <w:rFonts w:cs="Arial"/>
        </w:rPr>
        <w:t>fuel</w:t>
      </w:r>
      <w:r w:rsidR="00AE4E67" w:rsidRPr="00827762">
        <w:rPr>
          <w:rFonts w:cs="Arial"/>
        </w:rPr>
        <w:t>led grievances. The recent recognition – by both the Government and the Labour Court – that the PSSA is to some extent capable of dealing with this could herald a positive change in direction on this issue.</w:t>
      </w:r>
    </w:p>
    <w:p w:rsidR="00165B18" w:rsidRPr="00827762" w:rsidRDefault="00165B18" w:rsidP="00827762">
      <w:pPr>
        <w:rPr>
          <w:rFonts w:cs="Arial"/>
        </w:rPr>
      </w:pPr>
    </w:p>
    <w:p w:rsidR="000E5EF1" w:rsidRPr="00827762" w:rsidRDefault="000E5EF1" w:rsidP="00827762">
      <w:pPr>
        <w:rPr>
          <w:rFonts w:cs="Arial"/>
        </w:rPr>
      </w:pPr>
      <w:r w:rsidRPr="00827762">
        <w:rPr>
          <w:rFonts w:cs="Arial"/>
        </w:rPr>
        <w:t>The recent nurses’ strike was a symptom of a wider frustration. Like many others, staff working in a dysfunctional system, often in appalling conditions and under i</w:t>
      </w:r>
      <w:r w:rsidR="00D06515">
        <w:rPr>
          <w:rFonts w:cs="Arial"/>
        </w:rPr>
        <w:t xml:space="preserve">ntense </w:t>
      </w:r>
      <w:r w:rsidRPr="00827762">
        <w:rPr>
          <w:rFonts w:cs="Arial"/>
        </w:rPr>
        <w:t xml:space="preserve">pressure, were really challenging the significant loss in spending power experienced over a decade, although their case may have been expressed in </w:t>
      </w:r>
      <w:r w:rsidR="00E82764">
        <w:rPr>
          <w:rFonts w:cs="Arial"/>
        </w:rPr>
        <w:t>various</w:t>
      </w:r>
      <w:r w:rsidRPr="00827762">
        <w:rPr>
          <w:rFonts w:cs="Arial"/>
        </w:rPr>
        <w:t xml:space="preserve"> ways.</w:t>
      </w:r>
    </w:p>
    <w:p w:rsidR="000E5EF1" w:rsidRPr="00827762" w:rsidRDefault="000E5EF1" w:rsidP="00827762">
      <w:pPr>
        <w:rPr>
          <w:rFonts w:cs="Arial"/>
        </w:rPr>
      </w:pPr>
    </w:p>
    <w:p w:rsidR="000E5EF1" w:rsidRPr="00827762" w:rsidRDefault="000E5EF1" w:rsidP="00827762">
      <w:pPr>
        <w:rPr>
          <w:rFonts w:cs="Arial"/>
        </w:rPr>
      </w:pPr>
      <w:r w:rsidRPr="00827762">
        <w:rPr>
          <w:rFonts w:cs="Arial"/>
        </w:rPr>
        <w:t xml:space="preserve">I don’t want to pre-empt the outcome of a process – including a ballot – that is incomplete. But the Labour Court recommendation is instructive. Although </w:t>
      </w:r>
      <w:r w:rsidR="00D06515">
        <w:rPr>
          <w:rFonts w:cs="Arial"/>
        </w:rPr>
        <w:t xml:space="preserve">it left nurses’ starting salaries </w:t>
      </w:r>
      <w:r w:rsidRPr="00827762">
        <w:rPr>
          <w:rFonts w:cs="Arial"/>
        </w:rPr>
        <w:t>unaltered, the recommendation would see newly-hired nurses achieve a substantial pay increase in a relatively short period of time.</w:t>
      </w:r>
    </w:p>
    <w:p w:rsidR="000E5EF1" w:rsidRPr="00827762" w:rsidRDefault="000E5EF1" w:rsidP="00827762">
      <w:pPr>
        <w:rPr>
          <w:rFonts w:cs="Arial"/>
        </w:rPr>
      </w:pPr>
    </w:p>
    <w:p w:rsidR="000E5EF1" w:rsidRPr="00827762" w:rsidRDefault="000E5EF1" w:rsidP="00827762">
      <w:pPr>
        <w:rPr>
          <w:rFonts w:cs="Arial"/>
        </w:rPr>
      </w:pPr>
      <w:r w:rsidRPr="00827762">
        <w:rPr>
          <w:rFonts w:cs="Arial"/>
        </w:rPr>
        <w:t xml:space="preserve">One has to assume that this is in recognition </w:t>
      </w:r>
      <w:r w:rsidR="00D06515">
        <w:rPr>
          <w:rFonts w:cs="Arial"/>
        </w:rPr>
        <w:t xml:space="preserve">– at least in part – of </w:t>
      </w:r>
      <w:r w:rsidRPr="00827762">
        <w:rPr>
          <w:rFonts w:cs="Arial"/>
        </w:rPr>
        <w:t xml:space="preserve">the very real difficulties involved in trying to live on starting incomes significantly reduced by measures imposed </w:t>
      </w:r>
      <w:r w:rsidR="0072714B">
        <w:rPr>
          <w:rFonts w:cs="Arial"/>
        </w:rPr>
        <w:t xml:space="preserve">on new hires </w:t>
      </w:r>
      <w:r w:rsidRPr="00827762">
        <w:rPr>
          <w:rFonts w:cs="Arial"/>
        </w:rPr>
        <w:t>in 2011.</w:t>
      </w:r>
    </w:p>
    <w:p w:rsidR="00D06515" w:rsidRDefault="00D06515" w:rsidP="00827762">
      <w:pPr>
        <w:rPr>
          <w:rFonts w:cs="Arial"/>
        </w:rPr>
      </w:pPr>
    </w:p>
    <w:p w:rsidR="000E5EF1" w:rsidRPr="00827762" w:rsidRDefault="000E5EF1" w:rsidP="00827762">
      <w:pPr>
        <w:rPr>
          <w:rFonts w:cs="Arial"/>
        </w:rPr>
      </w:pPr>
      <w:r w:rsidRPr="00827762">
        <w:rPr>
          <w:rFonts w:cs="Arial"/>
        </w:rPr>
        <w:t xml:space="preserve">As public sector recruitment has gathered pace, more and more workers are affected by such measures – and there are many cases where the starting pay is a lot lower than in nursing. These lower entry rates and the pace of scale progression should be </w:t>
      </w:r>
      <w:r w:rsidR="002E59EE" w:rsidRPr="00827762">
        <w:rPr>
          <w:rFonts w:cs="Arial"/>
        </w:rPr>
        <w:t>urgently – and more widely – reconsidered</w:t>
      </w:r>
      <w:r w:rsidRPr="00827762">
        <w:rPr>
          <w:rFonts w:cs="Arial"/>
        </w:rPr>
        <w:t>.</w:t>
      </w:r>
    </w:p>
    <w:p w:rsidR="000E5EF1" w:rsidRPr="00827762" w:rsidRDefault="000E5EF1" w:rsidP="00827762">
      <w:pPr>
        <w:rPr>
          <w:rFonts w:cs="Arial"/>
        </w:rPr>
      </w:pPr>
    </w:p>
    <w:p w:rsidR="00D06515" w:rsidRDefault="00D06515" w:rsidP="00D06515">
      <w:pPr>
        <w:rPr>
          <w:rFonts w:cs="Arial"/>
        </w:rPr>
      </w:pPr>
      <w:r w:rsidRPr="00827762">
        <w:rPr>
          <w:rFonts w:cs="Arial"/>
        </w:rPr>
        <w:t xml:space="preserve">Brexit notwithstanding, the economic conditions </w:t>
      </w:r>
      <w:r>
        <w:rPr>
          <w:rFonts w:cs="Arial"/>
        </w:rPr>
        <w:t xml:space="preserve">mean </w:t>
      </w:r>
      <w:r w:rsidR="00C26741" w:rsidRPr="00827762">
        <w:rPr>
          <w:rFonts w:cs="Arial"/>
        </w:rPr>
        <w:t>we are in a position to do this.</w:t>
      </w:r>
      <w:r w:rsidR="00E82764">
        <w:rPr>
          <w:rFonts w:cs="Arial"/>
        </w:rPr>
        <w:t xml:space="preserve"> </w:t>
      </w:r>
      <w:r w:rsidR="00316F99" w:rsidRPr="00827762">
        <w:rPr>
          <w:rFonts w:cs="Arial"/>
        </w:rPr>
        <w:t>Ireland remains a low tax country</w:t>
      </w:r>
      <w:r>
        <w:rPr>
          <w:rFonts w:cs="Arial"/>
        </w:rPr>
        <w:t xml:space="preserve"> and, while </w:t>
      </w:r>
      <w:r w:rsidR="00C26741" w:rsidRPr="00827762">
        <w:rPr>
          <w:rFonts w:cs="Arial"/>
        </w:rPr>
        <w:t xml:space="preserve">the </w:t>
      </w:r>
      <w:r w:rsidR="00316F99" w:rsidRPr="00827762">
        <w:rPr>
          <w:rFonts w:cs="Arial"/>
        </w:rPr>
        <w:t>gap between the Irish tax-to-GDP ratio and the OECD average</w:t>
      </w:r>
      <w:r w:rsidR="00B071F9" w:rsidRPr="00827762">
        <w:rPr>
          <w:rFonts w:cs="Arial"/>
        </w:rPr>
        <w:t xml:space="preserve"> i</w:t>
      </w:r>
      <w:r w:rsidR="00316F99" w:rsidRPr="00827762">
        <w:rPr>
          <w:rFonts w:cs="Arial"/>
        </w:rPr>
        <w:t>s</w:t>
      </w:r>
      <w:r w:rsidR="00C26741" w:rsidRPr="00827762">
        <w:rPr>
          <w:rFonts w:cs="Arial"/>
        </w:rPr>
        <w:t xml:space="preserve"> widening</w:t>
      </w:r>
      <w:r>
        <w:rPr>
          <w:rFonts w:cs="Arial"/>
        </w:rPr>
        <w:t>, t</w:t>
      </w:r>
      <w:r w:rsidR="00316F99" w:rsidRPr="00827762">
        <w:rPr>
          <w:rFonts w:cs="Arial"/>
        </w:rPr>
        <w:t xml:space="preserve">ax receipts are now well ahead of pre-crash levels. </w:t>
      </w:r>
    </w:p>
    <w:p w:rsidR="00D06515" w:rsidRDefault="00D06515" w:rsidP="00D06515">
      <w:pPr>
        <w:rPr>
          <w:rFonts w:cs="Arial"/>
        </w:rPr>
      </w:pPr>
    </w:p>
    <w:p w:rsidR="00B5409D" w:rsidRDefault="00C26741" w:rsidP="00827762">
      <w:pPr>
        <w:rPr>
          <w:rFonts w:cs="Arial"/>
        </w:rPr>
      </w:pPr>
      <w:r w:rsidRPr="00827762">
        <w:rPr>
          <w:rFonts w:cs="Arial"/>
        </w:rPr>
        <w:t>The</w:t>
      </w:r>
      <w:r w:rsidR="00316F99" w:rsidRPr="00827762">
        <w:rPr>
          <w:rFonts w:cs="Arial"/>
        </w:rPr>
        <w:t xml:space="preserve"> European Commission </w:t>
      </w:r>
      <w:r w:rsidRPr="00827762">
        <w:rPr>
          <w:rFonts w:cs="Arial"/>
        </w:rPr>
        <w:t xml:space="preserve">forecasts Irish </w:t>
      </w:r>
      <w:r w:rsidR="00316F99" w:rsidRPr="00827762">
        <w:rPr>
          <w:rFonts w:cs="Arial"/>
        </w:rPr>
        <w:t xml:space="preserve">growth </w:t>
      </w:r>
      <w:r w:rsidRPr="00827762">
        <w:rPr>
          <w:rFonts w:cs="Arial"/>
        </w:rPr>
        <w:t xml:space="preserve">at 4% this year and next, </w:t>
      </w:r>
      <w:r w:rsidR="00316F99" w:rsidRPr="00827762">
        <w:rPr>
          <w:rFonts w:cs="Arial"/>
        </w:rPr>
        <w:t xml:space="preserve">following </w:t>
      </w:r>
      <w:r w:rsidRPr="00827762">
        <w:rPr>
          <w:rFonts w:cs="Arial"/>
        </w:rPr>
        <w:t>real GDP growth of around 7%</w:t>
      </w:r>
      <w:r w:rsidR="0022472B" w:rsidRPr="00827762">
        <w:rPr>
          <w:rFonts w:cs="Arial"/>
        </w:rPr>
        <w:t xml:space="preserve"> in </w:t>
      </w:r>
      <w:r w:rsidRPr="00827762">
        <w:rPr>
          <w:rFonts w:cs="Arial"/>
        </w:rPr>
        <w:t xml:space="preserve">both </w:t>
      </w:r>
      <w:r w:rsidR="0022472B" w:rsidRPr="00827762">
        <w:rPr>
          <w:rFonts w:cs="Arial"/>
        </w:rPr>
        <w:t>2017 and</w:t>
      </w:r>
      <w:r w:rsidR="00316F99" w:rsidRPr="00827762">
        <w:rPr>
          <w:rFonts w:cs="Arial"/>
        </w:rPr>
        <w:t xml:space="preserve"> 2018</w:t>
      </w:r>
      <w:r w:rsidR="00D06515">
        <w:rPr>
          <w:rFonts w:cs="Arial"/>
        </w:rPr>
        <w:t>.</w:t>
      </w:r>
      <w:r w:rsidR="00E82764">
        <w:rPr>
          <w:rFonts w:cs="Arial"/>
        </w:rPr>
        <w:t xml:space="preserve"> </w:t>
      </w:r>
      <w:r w:rsidRPr="00827762">
        <w:rPr>
          <w:rFonts w:cs="Arial"/>
        </w:rPr>
        <w:t>P</w:t>
      </w:r>
      <w:r w:rsidR="00E82764">
        <w:rPr>
          <w:rFonts w:cs="Arial"/>
        </w:rPr>
        <w:t>rogress towards the 60% debt-to-</w:t>
      </w:r>
      <w:r w:rsidR="00316F99" w:rsidRPr="00827762">
        <w:rPr>
          <w:rFonts w:cs="Arial"/>
        </w:rPr>
        <w:t>GDP ratio is well advanced</w:t>
      </w:r>
      <w:r w:rsidRPr="00827762">
        <w:rPr>
          <w:rFonts w:cs="Arial"/>
        </w:rPr>
        <w:t xml:space="preserve">, </w:t>
      </w:r>
      <w:r w:rsidR="00316F99" w:rsidRPr="00827762">
        <w:rPr>
          <w:rFonts w:cs="Arial"/>
        </w:rPr>
        <w:t>and compliance with the Medium Term Budget</w:t>
      </w:r>
      <w:r w:rsidR="00E93A42" w:rsidRPr="00827762">
        <w:rPr>
          <w:rFonts w:cs="Arial"/>
        </w:rPr>
        <w:t>a</w:t>
      </w:r>
      <w:r w:rsidR="00BA64DE" w:rsidRPr="00827762">
        <w:rPr>
          <w:rFonts w:cs="Arial"/>
        </w:rPr>
        <w:t xml:space="preserve">ry Objective has been achieved. All this while paying </w:t>
      </w:r>
      <w:r w:rsidRPr="00827762">
        <w:rPr>
          <w:rFonts w:cs="Arial"/>
        </w:rPr>
        <w:t>over</w:t>
      </w:r>
      <w:r w:rsidR="00BA64DE" w:rsidRPr="00827762">
        <w:rPr>
          <w:rFonts w:cs="Arial"/>
        </w:rPr>
        <w:t xml:space="preserve"> 5 bil</w:t>
      </w:r>
      <w:r w:rsidRPr="00827762">
        <w:rPr>
          <w:rFonts w:cs="Arial"/>
        </w:rPr>
        <w:t>lion euro in interest on State debt.</w:t>
      </w:r>
    </w:p>
    <w:p w:rsidR="00B5409D" w:rsidRDefault="00B5409D" w:rsidP="00827762">
      <w:pPr>
        <w:rPr>
          <w:rFonts w:cs="Arial"/>
        </w:rPr>
      </w:pPr>
    </w:p>
    <w:p w:rsidR="00FC1916" w:rsidRPr="00827762" w:rsidRDefault="00FC1916" w:rsidP="00827762">
      <w:pPr>
        <w:rPr>
          <w:rFonts w:cs="Arial"/>
        </w:rPr>
      </w:pPr>
      <w:r w:rsidRPr="00827762">
        <w:rPr>
          <w:rFonts w:cs="Arial"/>
        </w:rPr>
        <w:lastRenderedPageBreak/>
        <w:t>Meanwhile, unemployment has fallen steadily and the January 2019 Live Register showed joblessness at its lowest seasonally-adjusted level since April 2008. The graph from 2013 to 2019 closely resembles that from 1993 to 1999.</w:t>
      </w:r>
    </w:p>
    <w:p w:rsidR="00D06515" w:rsidRDefault="00D06515" w:rsidP="00827762">
      <w:pPr>
        <w:rPr>
          <w:rFonts w:cs="Arial"/>
        </w:rPr>
      </w:pPr>
    </w:p>
    <w:p w:rsidR="00B5409D" w:rsidRDefault="00B5409D">
      <w:pPr>
        <w:rPr>
          <w:rFonts w:cs="Arial"/>
        </w:rPr>
      </w:pPr>
    </w:p>
    <w:p w:rsidR="00281E78" w:rsidRPr="00281E78" w:rsidRDefault="00281E78" w:rsidP="00843238">
      <w:pPr>
        <w:spacing w:line="300" w:lineRule="auto"/>
        <w:rPr>
          <w:b/>
        </w:rPr>
      </w:pPr>
      <w:r w:rsidRPr="00281E78">
        <w:rPr>
          <w:b/>
        </w:rPr>
        <w:t>Tax-to GDP ratio over time</w:t>
      </w:r>
    </w:p>
    <w:p w:rsidR="00281E78" w:rsidRDefault="00281E78" w:rsidP="00843238">
      <w:pPr>
        <w:spacing w:line="300" w:lineRule="auto"/>
      </w:pPr>
    </w:p>
    <w:p w:rsidR="00281E78" w:rsidRDefault="00281E78" w:rsidP="00843238">
      <w:pPr>
        <w:spacing w:line="300" w:lineRule="auto"/>
      </w:pPr>
      <w:r>
        <w:rPr>
          <w:noProof/>
          <w:lang w:val="en-GB" w:eastAsia="en-GB"/>
        </w:rPr>
        <w:drawing>
          <wp:inline distT="0" distB="0" distL="0" distR="0">
            <wp:extent cx="5731510" cy="1950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x-to-GDP ratio over 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50720"/>
                    </a:xfrm>
                    <a:prstGeom prst="rect">
                      <a:avLst/>
                    </a:prstGeom>
                  </pic:spPr>
                </pic:pic>
              </a:graphicData>
            </a:graphic>
          </wp:inline>
        </w:drawing>
      </w:r>
    </w:p>
    <w:p w:rsidR="00281E78" w:rsidRDefault="00281E78"/>
    <w:p w:rsidR="00281E78" w:rsidRDefault="00281E78"/>
    <w:p w:rsidR="00281E78" w:rsidRDefault="00281E78">
      <w:pPr>
        <w:rPr>
          <w:b/>
        </w:rPr>
      </w:pPr>
      <w:r>
        <w:rPr>
          <w:b/>
        </w:rPr>
        <w:t>Tax-to-GDP ratio compared to the OECD, 2017</w:t>
      </w:r>
    </w:p>
    <w:p w:rsidR="00281E78" w:rsidRDefault="00281E78">
      <w:pPr>
        <w:rPr>
          <w:b/>
        </w:rPr>
      </w:pPr>
    </w:p>
    <w:p w:rsidR="0022472B" w:rsidRDefault="00281E78">
      <w:r>
        <w:rPr>
          <w:noProof/>
          <w:lang w:val="en-GB" w:eastAsia="en-GB"/>
        </w:rPr>
        <w:drawing>
          <wp:inline distT="0" distB="0" distL="0" distR="0">
            <wp:extent cx="5731510" cy="1951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x-to-GDP ration compared to the OECD, 20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951990"/>
                    </a:xfrm>
                    <a:prstGeom prst="rect">
                      <a:avLst/>
                    </a:prstGeom>
                  </pic:spPr>
                </pic:pic>
              </a:graphicData>
            </a:graphic>
          </wp:inline>
        </w:drawing>
      </w:r>
    </w:p>
    <w:p w:rsidR="0022472B" w:rsidRDefault="0022472B"/>
    <w:p w:rsidR="00281E78" w:rsidRDefault="0022472B" w:rsidP="0022472B">
      <w:pPr>
        <w:jc w:val="right"/>
      </w:pPr>
      <w:r w:rsidRPr="0022472B">
        <w:rPr>
          <w:sz w:val="20"/>
        </w:rPr>
        <w:t>Source: OECD</w:t>
      </w:r>
      <w:r w:rsidR="00281E78">
        <w:br w:type="page"/>
      </w:r>
    </w:p>
    <w:p w:rsidR="00BA64DE" w:rsidRDefault="00C435B2" w:rsidP="00843238">
      <w:pPr>
        <w:spacing w:line="300" w:lineRule="auto"/>
      </w:pPr>
      <w:r w:rsidRPr="00C435B2">
        <w:rPr>
          <w:noProof/>
          <w:lang w:val="en-GB" w:eastAsia="en-GB"/>
        </w:rPr>
        <w:lastRenderedPageBreak/>
        <w:drawing>
          <wp:inline distT="0" distB="0" distL="0" distR="0" wp14:anchorId="480F9929" wp14:editId="0B46AECF">
            <wp:extent cx="5731510" cy="2232660"/>
            <wp:effectExtent l="0" t="0" r="254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581A" w:rsidRDefault="00E6581A" w:rsidP="00843238">
      <w:pPr>
        <w:spacing w:line="300" w:lineRule="auto"/>
      </w:pPr>
    </w:p>
    <w:p w:rsidR="00E6581A" w:rsidRDefault="00E6581A" w:rsidP="00843238">
      <w:pPr>
        <w:spacing w:line="300" w:lineRule="auto"/>
      </w:pPr>
      <w:r>
        <w:rPr>
          <w:noProof/>
          <w:lang w:val="en-GB" w:eastAsia="en-GB"/>
        </w:rPr>
        <w:drawing>
          <wp:inline distT="0" distB="0" distL="0" distR="0" wp14:anchorId="6EB10DD5" wp14:editId="196C9E84">
            <wp:extent cx="5410200" cy="4503420"/>
            <wp:effectExtent l="0" t="0" r="0" b="0"/>
            <wp:docPr id="1" name="Picture 1" descr="cid:image001.png@01D4C9F7.51E4E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4C9F7.51E4EF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10200" cy="4503420"/>
                    </a:xfrm>
                    <a:prstGeom prst="rect">
                      <a:avLst/>
                    </a:prstGeom>
                    <a:noFill/>
                    <a:ln>
                      <a:noFill/>
                    </a:ln>
                  </pic:spPr>
                </pic:pic>
              </a:graphicData>
            </a:graphic>
          </wp:inline>
        </w:drawing>
      </w:r>
    </w:p>
    <w:p w:rsidR="00E6581A" w:rsidRPr="0022472B" w:rsidRDefault="0022472B" w:rsidP="0022472B">
      <w:pPr>
        <w:spacing w:line="300" w:lineRule="auto"/>
        <w:jc w:val="right"/>
        <w:rPr>
          <w:sz w:val="20"/>
        </w:rPr>
      </w:pPr>
      <w:r>
        <w:rPr>
          <w:sz w:val="20"/>
        </w:rPr>
        <w:t>Source: Eurostat</w:t>
      </w:r>
    </w:p>
    <w:p w:rsidR="00E6581A" w:rsidRDefault="00E6581A" w:rsidP="00843238">
      <w:pPr>
        <w:spacing w:line="300" w:lineRule="auto"/>
      </w:pPr>
    </w:p>
    <w:p w:rsidR="00B5409D" w:rsidRPr="00827762" w:rsidRDefault="00B5409D" w:rsidP="00B5409D">
      <w:pPr>
        <w:rPr>
          <w:rFonts w:cs="Arial"/>
        </w:rPr>
      </w:pPr>
      <w:r w:rsidRPr="00827762">
        <w:rPr>
          <w:rFonts w:cs="Arial"/>
        </w:rPr>
        <w:t xml:space="preserve">These impressive </w:t>
      </w:r>
      <w:r>
        <w:rPr>
          <w:rFonts w:cs="Arial"/>
        </w:rPr>
        <w:t xml:space="preserve">trends </w:t>
      </w:r>
      <w:r w:rsidRPr="00827762">
        <w:rPr>
          <w:rFonts w:cs="Arial"/>
        </w:rPr>
        <w:t xml:space="preserve">are feeding into wage improvements. The Chartered Institute of Personnel and Development’s most recent Labour Market Outlook forecast private sector basic-pay growth of 2.5% this year, while the Congress private sector committee has urged affiliate unions to seek wages rises of at least 3.4% - </w:t>
      </w:r>
      <w:r>
        <w:rPr>
          <w:rFonts w:cs="Arial"/>
        </w:rPr>
        <w:t xml:space="preserve">and </w:t>
      </w:r>
      <w:r w:rsidRPr="00827762">
        <w:rPr>
          <w:rFonts w:cs="Arial"/>
        </w:rPr>
        <w:t xml:space="preserve">more in profitable areas of the economy. This is in line with Central Bank wage growth predictions of 7% across the economy in the two-year period, 2019 to 2020. </w:t>
      </w:r>
    </w:p>
    <w:p w:rsidR="0046500A" w:rsidRDefault="006D172B" w:rsidP="00827762">
      <w:r w:rsidRPr="00827762">
        <w:lastRenderedPageBreak/>
        <w:t>In normal times</w:t>
      </w:r>
      <w:r w:rsidR="00A11338" w:rsidRPr="00827762">
        <w:t xml:space="preserve">, public sector unions’ </w:t>
      </w:r>
      <w:r w:rsidRPr="00827762">
        <w:t xml:space="preserve">pay bargaining strategy </w:t>
      </w:r>
      <w:r w:rsidR="00A11338" w:rsidRPr="00827762">
        <w:t xml:space="preserve">would be </w:t>
      </w:r>
      <w:r w:rsidRPr="00827762">
        <w:t>guided</w:t>
      </w:r>
      <w:r w:rsidR="00D06515">
        <w:t xml:space="preserve"> predominantly</w:t>
      </w:r>
      <w:r w:rsidRPr="00827762">
        <w:t xml:space="preserve"> by settlements in the private sector</w:t>
      </w:r>
      <w:r w:rsidR="00A11338" w:rsidRPr="00827762">
        <w:t xml:space="preserve">, </w:t>
      </w:r>
      <w:r w:rsidRPr="00827762">
        <w:t xml:space="preserve">and the need to achieve improvements in the real incomes of members. Clearly the current situation is complicated by the austerity measures introduced in the five years from 2009 to 2013. </w:t>
      </w:r>
      <w:r w:rsidR="0046500A" w:rsidRPr="00827762">
        <w:t>Along with the increase in working time that I mentioned earlier, t</w:t>
      </w:r>
      <w:r w:rsidR="00A11338" w:rsidRPr="00827762">
        <w:t>hese included</w:t>
      </w:r>
      <w:r w:rsidR="0046500A" w:rsidRPr="00827762">
        <w:t>:</w:t>
      </w:r>
    </w:p>
    <w:p w:rsidR="00BE45B7" w:rsidRPr="00827762" w:rsidRDefault="00BE45B7" w:rsidP="00827762"/>
    <w:p w:rsidR="0046500A" w:rsidRPr="00827762" w:rsidRDefault="0046500A" w:rsidP="00827762"/>
    <w:p w:rsidR="0046500A" w:rsidRPr="00827762" w:rsidRDefault="0046500A" w:rsidP="00827762">
      <w:pPr>
        <w:pStyle w:val="ListParagraph"/>
        <w:numPr>
          <w:ilvl w:val="0"/>
          <w:numId w:val="7"/>
        </w:numPr>
      </w:pPr>
      <w:r w:rsidRPr="00827762">
        <w:t>S</w:t>
      </w:r>
      <w:r w:rsidR="00A11338" w:rsidRPr="00827762">
        <w:t>ubstantial pay cuts</w:t>
      </w:r>
      <w:r w:rsidR="00582C13" w:rsidRPr="00827762">
        <w:t>, which have not yet been fully restored</w:t>
      </w:r>
      <w:r w:rsidRPr="00827762">
        <w:t>;</w:t>
      </w:r>
    </w:p>
    <w:p w:rsidR="0046500A" w:rsidRPr="00827762" w:rsidRDefault="0046500A" w:rsidP="00827762">
      <w:pPr>
        <w:pStyle w:val="ListParagraph"/>
        <w:numPr>
          <w:ilvl w:val="0"/>
          <w:numId w:val="7"/>
        </w:numPr>
      </w:pPr>
      <w:r w:rsidRPr="00827762">
        <w:t>S</w:t>
      </w:r>
      <w:r w:rsidR="00A11338" w:rsidRPr="00827762">
        <w:t>ignificantly increased pension contributions</w:t>
      </w:r>
      <w:r w:rsidR="00582C13" w:rsidRPr="00827762">
        <w:t>, the bulk of which remain in place</w:t>
      </w:r>
      <w:r w:rsidRPr="00827762">
        <w:t>;</w:t>
      </w:r>
    </w:p>
    <w:p w:rsidR="0046500A" w:rsidRPr="00827762" w:rsidRDefault="0046500A" w:rsidP="00827762">
      <w:pPr>
        <w:pStyle w:val="ListParagraph"/>
        <w:numPr>
          <w:ilvl w:val="0"/>
          <w:numId w:val="7"/>
        </w:numPr>
      </w:pPr>
      <w:r w:rsidRPr="00827762">
        <w:t>Reduced pension payments</w:t>
      </w:r>
      <w:r w:rsidR="00582C13" w:rsidRPr="00827762">
        <w:t>, though these are now being restored</w:t>
      </w:r>
      <w:r w:rsidRPr="00827762">
        <w:t>;</w:t>
      </w:r>
    </w:p>
    <w:p w:rsidR="0046500A" w:rsidRPr="00827762" w:rsidRDefault="00D06515" w:rsidP="00827762">
      <w:pPr>
        <w:pStyle w:val="ListParagraph"/>
        <w:numPr>
          <w:ilvl w:val="0"/>
          <w:numId w:val="7"/>
        </w:numPr>
      </w:pPr>
      <w:r>
        <w:t>The i</w:t>
      </w:r>
      <w:r w:rsidR="006D172B" w:rsidRPr="00827762">
        <w:t>ncreased ta</w:t>
      </w:r>
      <w:r w:rsidR="0046500A" w:rsidRPr="00827762">
        <w:t xml:space="preserve">xes and charges, including the USC, </w:t>
      </w:r>
      <w:r>
        <w:t xml:space="preserve">which </w:t>
      </w:r>
      <w:r w:rsidR="0046500A" w:rsidRPr="00827762">
        <w:t>applied across the economy;</w:t>
      </w:r>
    </w:p>
    <w:p w:rsidR="0046500A" w:rsidRPr="00827762" w:rsidRDefault="0046500A" w:rsidP="00827762">
      <w:pPr>
        <w:pStyle w:val="ListParagraph"/>
        <w:numPr>
          <w:ilvl w:val="0"/>
          <w:numId w:val="7"/>
        </w:numPr>
      </w:pPr>
      <w:r w:rsidRPr="00827762">
        <w:t>New arrangements for new entrants;</w:t>
      </w:r>
    </w:p>
    <w:p w:rsidR="0046500A" w:rsidRPr="00827762" w:rsidRDefault="0046500A" w:rsidP="00827762">
      <w:pPr>
        <w:pStyle w:val="ListParagraph"/>
        <w:numPr>
          <w:ilvl w:val="0"/>
          <w:numId w:val="7"/>
        </w:numPr>
      </w:pPr>
      <w:r w:rsidRPr="00827762">
        <w:t xml:space="preserve">The halving of sick leave arrangements; </w:t>
      </w:r>
    </w:p>
    <w:p w:rsidR="0046500A" w:rsidRPr="00827762" w:rsidRDefault="0046500A" w:rsidP="00827762">
      <w:pPr>
        <w:pStyle w:val="ListParagraph"/>
        <w:numPr>
          <w:ilvl w:val="0"/>
          <w:numId w:val="7"/>
        </w:numPr>
      </w:pPr>
      <w:r w:rsidRPr="00827762">
        <w:t>The introduction of a</w:t>
      </w:r>
      <w:r w:rsidR="006D172B" w:rsidRPr="00827762">
        <w:t xml:space="preserve"> new Single Public Service Pensio</w:t>
      </w:r>
      <w:r w:rsidRPr="00827762">
        <w:t>n Scheme with inferior benefits</w:t>
      </w:r>
      <w:r w:rsidR="00D06515">
        <w:t xml:space="preserve"> – its </w:t>
      </w:r>
      <w:r w:rsidR="006D172B" w:rsidRPr="00827762">
        <w:t xml:space="preserve">membership now </w:t>
      </w:r>
      <w:r w:rsidRPr="00827762">
        <w:t xml:space="preserve">numbers in the </w:t>
      </w:r>
      <w:r w:rsidR="006D172B" w:rsidRPr="00827762">
        <w:t>tens of thousands</w:t>
      </w:r>
      <w:r w:rsidRPr="00827762">
        <w:t>;</w:t>
      </w:r>
    </w:p>
    <w:p w:rsidR="0046500A" w:rsidRPr="00827762" w:rsidRDefault="0046500A" w:rsidP="00827762">
      <w:pPr>
        <w:pStyle w:val="ListParagraph"/>
        <w:numPr>
          <w:ilvl w:val="0"/>
          <w:numId w:val="7"/>
        </w:numPr>
      </w:pPr>
      <w:r w:rsidRPr="00827762">
        <w:t>The loss of allowances which, for some, made up a significant part of income;</w:t>
      </w:r>
    </w:p>
    <w:p w:rsidR="00BC2C54" w:rsidRPr="00827762" w:rsidRDefault="00DB742F" w:rsidP="00827762">
      <w:pPr>
        <w:pStyle w:val="ListParagraph"/>
        <w:numPr>
          <w:ilvl w:val="0"/>
          <w:numId w:val="7"/>
        </w:numPr>
      </w:pPr>
      <w:r w:rsidRPr="00827762">
        <w:t>T</w:t>
      </w:r>
      <w:r w:rsidR="0046500A" w:rsidRPr="00827762">
        <w:t>he introduction of a raft of cost-saving productivity measures th</w:t>
      </w:r>
      <w:r w:rsidR="00582C13" w:rsidRPr="00827762">
        <w:t>at have impacted on working con</w:t>
      </w:r>
      <w:r w:rsidR="0046500A" w:rsidRPr="00827762">
        <w:t>ditions</w:t>
      </w:r>
      <w:r w:rsidRPr="00827762">
        <w:t>;</w:t>
      </w:r>
    </w:p>
    <w:p w:rsidR="00BC2C54" w:rsidRPr="00827762" w:rsidRDefault="00DB742F" w:rsidP="00827762">
      <w:pPr>
        <w:pStyle w:val="ListParagraph"/>
        <w:numPr>
          <w:ilvl w:val="0"/>
          <w:numId w:val="7"/>
        </w:numPr>
      </w:pPr>
      <w:r w:rsidRPr="00827762">
        <w:t>And the absence of the mechanisms</w:t>
      </w:r>
      <w:r w:rsidR="00D06515" w:rsidRPr="00827762">
        <w:t>, which existed in previous agreements from Programme for National Recovery to Sustaining Progress</w:t>
      </w:r>
      <w:r w:rsidR="00D06515">
        <w:t>,</w:t>
      </w:r>
      <w:r w:rsidRPr="00827762">
        <w:t xml:space="preserve"> to </w:t>
      </w:r>
      <w:r w:rsidR="00BC2C54" w:rsidRPr="00827762">
        <w:t xml:space="preserve">implement outstanding pay awards, </w:t>
      </w:r>
      <w:r w:rsidRPr="00827762">
        <w:t>review pay grades</w:t>
      </w:r>
      <w:r w:rsidR="00D06515">
        <w:t xml:space="preserve">, or </w:t>
      </w:r>
      <w:r w:rsidRPr="00827762">
        <w:t>reward enh</w:t>
      </w:r>
      <w:r w:rsidR="00D06515">
        <w:t>anced responsibility and</w:t>
      </w:r>
      <w:r w:rsidRPr="00827762">
        <w:t xml:space="preserve"> improved productivity</w:t>
      </w:r>
      <w:r w:rsidR="00BC2C54" w:rsidRPr="00827762">
        <w:t>.</w:t>
      </w:r>
    </w:p>
    <w:p w:rsidR="00BC2C54" w:rsidRPr="00827762" w:rsidRDefault="00BC2C54" w:rsidP="00827762"/>
    <w:p w:rsidR="001112D6" w:rsidRPr="00827762" w:rsidRDefault="001112D6" w:rsidP="00827762">
      <w:r w:rsidRPr="00827762">
        <w:t xml:space="preserve">All this in a period where public service provision </w:t>
      </w:r>
      <w:r w:rsidR="00D06515">
        <w:t>quickly became</w:t>
      </w:r>
      <w:r w:rsidRPr="00827762">
        <w:t xml:space="preserve"> much more demanding because of the impact of the crisis on demand – </w:t>
      </w:r>
      <w:r w:rsidR="00E81AD4">
        <w:t xml:space="preserve">and </w:t>
      </w:r>
      <w:r w:rsidR="00D06515">
        <w:t xml:space="preserve">all on </w:t>
      </w:r>
      <w:r w:rsidRPr="00827762">
        <w:t>top of an exponential growth in the size of the population over the last 20 years, with all the challenges this brings.</w:t>
      </w:r>
    </w:p>
    <w:p w:rsidR="001112D6" w:rsidRPr="00827762" w:rsidRDefault="001112D6" w:rsidP="00827762"/>
    <w:p w:rsidR="00C50EA0" w:rsidRDefault="00582C13" w:rsidP="00827762">
      <w:r w:rsidRPr="00827762">
        <w:t xml:space="preserve">Meanwhile, our historically </w:t>
      </w:r>
      <w:r w:rsidR="009B3A16" w:rsidRPr="00827762">
        <w:t xml:space="preserve">low inflation levels </w:t>
      </w:r>
      <w:r w:rsidRPr="00827762">
        <w:t xml:space="preserve">have drawn attention </w:t>
      </w:r>
      <w:r w:rsidR="00C50EA0">
        <w:t xml:space="preserve">away </w:t>
      </w:r>
      <w:r w:rsidRPr="00827762">
        <w:t>from the fact that the spending power of wages has been eroded by prices</w:t>
      </w:r>
      <w:r w:rsidR="00C50EA0">
        <w:t xml:space="preserve"> over the last decade.</w:t>
      </w:r>
    </w:p>
    <w:p w:rsidR="00C50EA0" w:rsidRDefault="00C50EA0" w:rsidP="00827762"/>
    <w:p w:rsidR="00C50EA0" w:rsidRDefault="00582C13" w:rsidP="00827762">
      <w:r w:rsidRPr="00827762">
        <w:t xml:space="preserve">The December-to-December </w:t>
      </w:r>
      <w:r w:rsidR="001D1AA4" w:rsidRPr="00827762">
        <w:t>CPI</w:t>
      </w:r>
      <w:r w:rsidRPr="00827762">
        <w:t xml:space="preserve"> figures show </w:t>
      </w:r>
      <w:r w:rsidR="009B3A16" w:rsidRPr="00827762">
        <w:t xml:space="preserve">a cumulative increase of </w:t>
      </w:r>
      <w:r w:rsidRPr="00827762">
        <w:t xml:space="preserve">over </w:t>
      </w:r>
      <w:r w:rsidR="009B3A16" w:rsidRPr="00827762">
        <w:t>6% between 2009 and 2018</w:t>
      </w:r>
      <w:r w:rsidRPr="00827762">
        <w:t xml:space="preserve">, </w:t>
      </w:r>
      <w:r w:rsidR="009B3A16" w:rsidRPr="00827762">
        <w:t>even allowi</w:t>
      </w:r>
      <w:r w:rsidR="001D1AA4" w:rsidRPr="00827762">
        <w:t>ng for a negative or zero level</w:t>
      </w:r>
      <w:r w:rsidR="009B3A16" w:rsidRPr="00827762">
        <w:t xml:space="preserve"> in some years. </w:t>
      </w:r>
    </w:p>
    <w:p w:rsidR="00C50EA0" w:rsidRDefault="00C50EA0" w:rsidP="00827762"/>
    <w:p w:rsidR="00827762" w:rsidRPr="00827762" w:rsidRDefault="00B53E25" w:rsidP="00827762">
      <w:r w:rsidRPr="00827762">
        <w:t xml:space="preserve">And it is also worth noting that CPI is a crude-enough measure of living standards and spending power. </w:t>
      </w:r>
      <w:r w:rsidR="00827762" w:rsidRPr="00827762">
        <w:t xml:space="preserve">The figure of 6% inflation over a decade may well resonate with a middle-aged couple in secure jobs </w:t>
      </w:r>
      <w:r w:rsidR="00C50EA0">
        <w:t xml:space="preserve">whose </w:t>
      </w:r>
      <w:r w:rsidR="00827762" w:rsidRPr="00827762">
        <w:t xml:space="preserve">mortgage </w:t>
      </w:r>
      <w:r w:rsidR="00C50EA0">
        <w:t xml:space="preserve">is </w:t>
      </w:r>
      <w:r w:rsidR="00827762" w:rsidRPr="00827762">
        <w:t>paid</w:t>
      </w:r>
      <w:r w:rsidR="00C50EA0">
        <w:t xml:space="preserve"> and whose </w:t>
      </w:r>
      <w:r w:rsidR="00827762" w:rsidRPr="00827762">
        <w:t xml:space="preserve">kids </w:t>
      </w:r>
      <w:r w:rsidR="00C50EA0">
        <w:t>have finished their education</w:t>
      </w:r>
      <w:r w:rsidR="00827762" w:rsidRPr="00827762">
        <w:t>. But it doesn’t tell us much about the reality facing young workers starting out in life.</w:t>
      </w:r>
    </w:p>
    <w:p w:rsidR="00582C13" w:rsidRPr="00827762" w:rsidRDefault="00582C13" w:rsidP="00827762"/>
    <w:p w:rsidR="00582C13" w:rsidRPr="00827762" w:rsidRDefault="00582C13" w:rsidP="00827762">
      <w:r w:rsidRPr="00827762">
        <w:t xml:space="preserve">The </w:t>
      </w:r>
      <w:r w:rsidR="00795874" w:rsidRPr="00827762">
        <w:t>CSO data on average earnings, hours worked and labour costs</w:t>
      </w:r>
      <w:r w:rsidRPr="00827762">
        <w:t>, published last month, is also revealing – particularly if you compare</w:t>
      </w:r>
      <w:r w:rsidR="00795874" w:rsidRPr="00827762">
        <w:t xml:space="preserve"> </w:t>
      </w:r>
      <w:r w:rsidR="00F525C7">
        <w:t xml:space="preserve">the </w:t>
      </w:r>
      <w:r w:rsidR="00795874" w:rsidRPr="00827762">
        <w:t xml:space="preserve">results </w:t>
      </w:r>
      <w:r w:rsidR="00F525C7">
        <w:t xml:space="preserve">for </w:t>
      </w:r>
      <w:r w:rsidRPr="00827762">
        <w:t xml:space="preserve">the total </w:t>
      </w:r>
      <w:r w:rsidR="00795874" w:rsidRPr="00827762">
        <w:t>workforce with selected sectors comprising a strong public service bias</w:t>
      </w:r>
      <w:r w:rsidRPr="00827762">
        <w:t xml:space="preserve">. </w:t>
      </w:r>
      <w:r w:rsidR="00795874" w:rsidRPr="00827762">
        <w:t xml:space="preserve">The </w:t>
      </w:r>
      <w:r w:rsidRPr="00827762">
        <w:t>table below seeks to do this.</w:t>
      </w:r>
    </w:p>
    <w:p w:rsidR="00582C13" w:rsidRPr="00827762" w:rsidRDefault="00582C13" w:rsidP="00827762"/>
    <w:p w:rsidR="00582C13" w:rsidRPr="00827762" w:rsidRDefault="00582C13" w:rsidP="00827762">
      <w:r w:rsidRPr="00827762">
        <w:lastRenderedPageBreak/>
        <w:t xml:space="preserve">You’ll see that the </w:t>
      </w:r>
      <w:r w:rsidR="00795874" w:rsidRPr="00827762">
        <w:t xml:space="preserve">very significant rise in unemployment from 2008 until 2014 </w:t>
      </w:r>
      <w:r w:rsidRPr="00827762">
        <w:t>appears to have had little</w:t>
      </w:r>
      <w:r w:rsidR="00F525C7">
        <w:t xml:space="preserve">, if any, </w:t>
      </w:r>
      <w:r w:rsidRPr="00827762">
        <w:t xml:space="preserve">impact on </w:t>
      </w:r>
      <w:r w:rsidR="0022472B" w:rsidRPr="00827762">
        <w:t>average</w:t>
      </w:r>
      <w:r w:rsidR="001D1AA4" w:rsidRPr="00827762">
        <w:t xml:space="preserve"> private sector earnings. </w:t>
      </w:r>
      <w:r w:rsidR="0022472B" w:rsidRPr="00827762">
        <w:t>So, provided they didn’t lose their job</w:t>
      </w:r>
      <w:r w:rsidRPr="00827762">
        <w:t xml:space="preserve"> – and that’s a significant caveat – private sector workers </w:t>
      </w:r>
      <w:r w:rsidR="0022472B" w:rsidRPr="00827762">
        <w:t xml:space="preserve">don’t appear to have </w:t>
      </w:r>
      <w:r w:rsidR="00F525C7">
        <w:t>experienced</w:t>
      </w:r>
      <w:r w:rsidR="0022472B" w:rsidRPr="00827762">
        <w:t xml:space="preserve"> </w:t>
      </w:r>
      <w:r w:rsidRPr="00827762">
        <w:t xml:space="preserve">pay cuts, although </w:t>
      </w:r>
      <w:r w:rsidR="0022472B" w:rsidRPr="00827762">
        <w:t>income</w:t>
      </w:r>
      <w:r w:rsidRPr="00827762">
        <w:t>s</w:t>
      </w:r>
      <w:r w:rsidR="0022472B" w:rsidRPr="00827762">
        <w:t xml:space="preserve"> </w:t>
      </w:r>
      <w:r w:rsidRPr="00827762">
        <w:t xml:space="preserve">were </w:t>
      </w:r>
      <w:r w:rsidR="0022472B" w:rsidRPr="00827762">
        <w:t xml:space="preserve">negatively affected by increased taxes and charges. </w:t>
      </w:r>
    </w:p>
    <w:p w:rsidR="00582C13" w:rsidRPr="00827762" w:rsidRDefault="00582C13" w:rsidP="00827762"/>
    <w:p w:rsidR="00B52BE5" w:rsidRPr="00827762" w:rsidRDefault="001D1AA4" w:rsidP="00827762">
      <w:r w:rsidRPr="00827762">
        <w:t xml:space="preserve">Indeed, when account is taken of the steep reduction in public sector earnings </w:t>
      </w:r>
      <w:r w:rsidR="00795874" w:rsidRPr="00827762">
        <w:t>during the same period, it would appear that private sector earnings actua</w:t>
      </w:r>
      <w:r w:rsidR="00B52BE5" w:rsidRPr="00827762">
        <w:t>lly rose.</w:t>
      </w:r>
    </w:p>
    <w:p w:rsidR="00B52BE5" w:rsidRPr="00827762" w:rsidRDefault="00B52BE5" w:rsidP="00827762"/>
    <w:p w:rsidR="00B52BE5" w:rsidRPr="00827762" w:rsidRDefault="00795874" w:rsidP="00827762">
      <w:r w:rsidRPr="00827762">
        <w:t xml:space="preserve">The calculations in italics represent an attempt to compare the latest data with </w:t>
      </w:r>
      <w:r w:rsidR="00B52BE5" w:rsidRPr="00827762">
        <w:t xml:space="preserve">the first quarter of </w:t>
      </w:r>
      <w:r w:rsidRPr="00827762">
        <w:t xml:space="preserve">2008. The average hourly earnings in the education sector </w:t>
      </w:r>
      <w:r w:rsidR="00B52BE5" w:rsidRPr="00827762">
        <w:t xml:space="preserve">looks like an outlier, </w:t>
      </w:r>
      <w:r w:rsidRPr="00827762">
        <w:t xml:space="preserve">perhaps </w:t>
      </w:r>
      <w:r w:rsidR="00B52BE5" w:rsidRPr="00827762">
        <w:t xml:space="preserve">reflecting </w:t>
      </w:r>
      <w:r w:rsidRPr="00827762">
        <w:t xml:space="preserve">a failure to record additional working time in schools. </w:t>
      </w:r>
    </w:p>
    <w:p w:rsidR="00B52BE5" w:rsidRPr="00827762" w:rsidRDefault="00B52BE5" w:rsidP="00827762"/>
    <w:p w:rsidR="00795874" w:rsidRDefault="00795874" w:rsidP="00827762">
      <w:r w:rsidRPr="00827762">
        <w:t xml:space="preserve">Nonetheless, the other sectors </w:t>
      </w:r>
      <w:r w:rsidR="00F525C7">
        <w:t xml:space="preserve">demonstrate </w:t>
      </w:r>
      <w:r w:rsidRPr="00827762">
        <w:t>the effect of increased working time on hourly earnings</w:t>
      </w:r>
      <w:r w:rsidR="00B52BE5" w:rsidRPr="00827762">
        <w:t>. It’</w:t>
      </w:r>
      <w:r w:rsidR="007C2023" w:rsidRPr="00827762">
        <w:t>s also clear that sectors</w:t>
      </w:r>
      <w:r w:rsidRPr="00827762">
        <w:t xml:space="preserve"> with a high public service component are behind the overall economy in term</w:t>
      </w:r>
      <w:r w:rsidR="00B52BE5" w:rsidRPr="00827762">
        <w:t xml:space="preserve">s of growth in average earnings, </w:t>
      </w:r>
      <w:r w:rsidRPr="00827762">
        <w:t xml:space="preserve">and this difference will be further emphasised when allowance is made for the depressive effect of the public sector </w:t>
      </w:r>
      <w:r w:rsidR="00E55489" w:rsidRPr="00827762">
        <w:t>element on the overall average.</w:t>
      </w:r>
    </w:p>
    <w:p w:rsidR="00827762" w:rsidRDefault="00827762" w:rsidP="00827762"/>
    <w:p w:rsidR="00827762" w:rsidRDefault="00827762"/>
    <w:p w:rsidR="00E16A56" w:rsidRPr="00E6581A" w:rsidRDefault="00E16A56" w:rsidP="00E6581A">
      <w:pPr>
        <w:spacing w:line="300" w:lineRule="auto"/>
        <w:ind w:right="-244"/>
        <w:rPr>
          <w:b/>
          <w:sz w:val="22"/>
          <w:u w:val="single"/>
        </w:rPr>
      </w:pPr>
      <w:r w:rsidRPr="00E6581A">
        <w:rPr>
          <w:b/>
          <w:sz w:val="22"/>
          <w:u w:val="single"/>
        </w:rPr>
        <w:t>CSO average earnings, hours worked, employment and labour costs by selected sectors</w:t>
      </w:r>
    </w:p>
    <w:p w:rsidR="00E16A56" w:rsidRPr="00E16A56" w:rsidRDefault="00E16A56" w:rsidP="009B3A16">
      <w:pPr>
        <w:spacing w:line="300" w:lineRule="auto"/>
        <w:rPr>
          <w:sz w:val="22"/>
          <w:u w:val="single"/>
        </w:rPr>
      </w:pPr>
    </w:p>
    <w:tbl>
      <w:tblPr>
        <w:tblStyle w:val="TableGrid"/>
        <w:tblW w:w="10396"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586"/>
        <w:gridCol w:w="1195"/>
        <w:gridCol w:w="1251"/>
        <w:gridCol w:w="1269"/>
        <w:gridCol w:w="1195"/>
        <w:gridCol w:w="1200"/>
      </w:tblGrid>
      <w:tr w:rsidR="00407AD6" w:rsidRPr="00E16A56" w:rsidTr="00407AD6">
        <w:tc>
          <w:tcPr>
            <w:tcW w:w="2700" w:type="dxa"/>
          </w:tcPr>
          <w:p w:rsidR="00E16A56" w:rsidRPr="00E16A56" w:rsidRDefault="00E16A56" w:rsidP="00E16A56">
            <w:pPr>
              <w:spacing w:line="300" w:lineRule="auto"/>
              <w:rPr>
                <w:sz w:val="22"/>
              </w:rPr>
            </w:pPr>
          </w:p>
        </w:tc>
        <w:tc>
          <w:tcPr>
            <w:tcW w:w="1586" w:type="dxa"/>
          </w:tcPr>
          <w:p w:rsidR="00E16A56" w:rsidRPr="00E55489" w:rsidRDefault="00E16A56" w:rsidP="00352FE2">
            <w:pPr>
              <w:spacing w:line="300" w:lineRule="auto"/>
              <w:jc w:val="right"/>
              <w:rPr>
                <w:b/>
                <w:sz w:val="22"/>
              </w:rPr>
            </w:pPr>
            <w:r w:rsidRPr="00E55489">
              <w:rPr>
                <w:b/>
                <w:sz w:val="22"/>
              </w:rPr>
              <w:t>2008 Q1</w:t>
            </w:r>
          </w:p>
        </w:tc>
        <w:tc>
          <w:tcPr>
            <w:tcW w:w="1195" w:type="dxa"/>
          </w:tcPr>
          <w:p w:rsidR="00E16A56" w:rsidRPr="00E55489" w:rsidRDefault="00E16A56" w:rsidP="00352FE2">
            <w:pPr>
              <w:spacing w:line="300" w:lineRule="auto"/>
              <w:jc w:val="right"/>
              <w:rPr>
                <w:b/>
                <w:sz w:val="22"/>
              </w:rPr>
            </w:pPr>
            <w:r w:rsidRPr="00E55489">
              <w:rPr>
                <w:b/>
                <w:sz w:val="22"/>
              </w:rPr>
              <w:t>2011 Q1</w:t>
            </w:r>
          </w:p>
        </w:tc>
        <w:tc>
          <w:tcPr>
            <w:tcW w:w="1251" w:type="dxa"/>
          </w:tcPr>
          <w:p w:rsidR="00E16A56" w:rsidRPr="00E55489" w:rsidRDefault="00E16A56" w:rsidP="00352FE2">
            <w:pPr>
              <w:spacing w:line="300" w:lineRule="auto"/>
              <w:jc w:val="right"/>
              <w:rPr>
                <w:b/>
                <w:sz w:val="22"/>
              </w:rPr>
            </w:pPr>
            <w:r w:rsidRPr="00E55489">
              <w:rPr>
                <w:b/>
                <w:sz w:val="22"/>
              </w:rPr>
              <w:t>2014 Q1</w:t>
            </w:r>
          </w:p>
        </w:tc>
        <w:tc>
          <w:tcPr>
            <w:tcW w:w="1269" w:type="dxa"/>
          </w:tcPr>
          <w:p w:rsidR="00E16A56" w:rsidRPr="00E55489" w:rsidRDefault="00E16A56" w:rsidP="00352FE2">
            <w:pPr>
              <w:spacing w:line="300" w:lineRule="auto"/>
              <w:jc w:val="right"/>
              <w:rPr>
                <w:b/>
                <w:sz w:val="22"/>
              </w:rPr>
            </w:pPr>
            <w:r w:rsidRPr="00E55489">
              <w:rPr>
                <w:b/>
                <w:sz w:val="22"/>
              </w:rPr>
              <w:t>2017 Q1</w:t>
            </w:r>
          </w:p>
        </w:tc>
        <w:tc>
          <w:tcPr>
            <w:tcW w:w="1195" w:type="dxa"/>
          </w:tcPr>
          <w:p w:rsidR="00E16A56" w:rsidRPr="00E55489" w:rsidRDefault="007C2023" w:rsidP="00352FE2">
            <w:pPr>
              <w:spacing w:line="300" w:lineRule="auto"/>
              <w:jc w:val="right"/>
              <w:rPr>
                <w:b/>
                <w:sz w:val="22"/>
              </w:rPr>
            </w:pPr>
            <w:r>
              <w:rPr>
                <w:b/>
                <w:sz w:val="22"/>
              </w:rPr>
              <w:t>2018 Q4</w:t>
            </w:r>
          </w:p>
        </w:tc>
        <w:tc>
          <w:tcPr>
            <w:tcW w:w="1200" w:type="dxa"/>
          </w:tcPr>
          <w:p w:rsidR="00E16A56" w:rsidRPr="00E55489" w:rsidRDefault="00E16A56" w:rsidP="00352FE2">
            <w:pPr>
              <w:spacing w:line="300" w:lineRule="auto"/>
              <w:jc w:val="right"/>
              <w:rPr>
                <w:b/>
                <w:sz w:val="22"/>
              </w:rPr>
            </w:pPr>
          </w:p>
        </w:tc>
      </w:tr>
      <w:tr w:rsidR="00407AD6" w:rsidRPr="00E16A56" w:rsidTr="00407AD6">
        <w:tc>
          <w:tcPr>
            <w:tcW w:w="2700" w:type="dxa"/>
          </w:tcPr>
          <w:p w:rsidR="00E16A56" w:rsidRPr="00E16A56" w:rsidRDefault="00E16A56" w:rsidP="00E16A56">
            <w:pPr>
              <w:spacing w:line="300" w:lineRule="auto"/>
              <w:rPr>
                <w:sz w:val="22"/>
              </w:rPr>
            </w:pPr>
          </w:p>
        </w:tc>
        <w:tc>
          <w:tcPr>
            <w:tcW w:w="1586" w:type="dxa"/>
          </w:tcPr>
          <w:p w:rsidR="00E16A56" w:rsidRPr="00E16A56" w:rsidRDefault="00E16A56" w:rsidP="00E16A56">
            <w:pPr>
              <w:spacing w:line="300" w:lineRule="auto"/>
              <w:rPr>
                <w:sz w:val="22"/>
              </w:rPr>
            </w:pPr>
          </w:p>
        </w:tc>
        <w:tc>
          <w:tcPr>
            <w:tcW w:w="1195" w:type="dxa"/>
          </w:tcPr>
          <w:p w:rsidR="00E16A56" w:rsidRPr="00E16A56" w:rsidRDefault="00E16A56" w:rsidP="00E16A56">
            <w:pPr>
              <w:spacing w:line="300" w:lineRule="auto"/>
              <w:rPr>
                <w:sz w:val="22"/>
              </w:rPr>
            </w:pPr>
          </w:p>
        </w:tc>
        <w:tc>
          <w:tcPr>
            <w:tcW w:w="1251" w:type="dxa"/>
          </w:tcPr>
          <w:p w:rsidR="00E16A56" w:rsidRPr="00E16A56" w:rsidRDefault="00E16A56" w:rsidP="00E16A56">
            <w:pPr>
              <w:spacing w:line="300" w:lineRule="auto"/>
              <w:rPr>
                <w:sz w:val="22"/>
              </w:rPr>
            </w:pPr>
          </w:p>
        </w:tc>
        <w:tc>
          <w:tcPr>
            <w:tcW w:w="1269" w:type="dxa"/>
          </w:tcPr>
          <w:p w:rsidR="00E16A56" w:rsidRPr="00E16A56" w:rsidRDefault="00E16A56" w:rsidP="00E16A56">
            <w:pPr>
              <w:spacing w:line="300" w:lineRule="auto"/>
              <w:rPr>
                <w:sz w:val="22"/>
              </w:rPr>
            </w:pPr>
          </w:p>
        </w:tc>
        <w:tc>
          <w:tcPr>
            <w:tcW w:w="1195" w:type="dxa"/>
          </w:tcPr>
          <w:p w:rsidR="00E16A56" w:rsidRPr="00E16A56" w:rsidRDefault="00E16A56" w:rsidP="00E16A56">
            <w:pPr>
              <w:spacing w:line="300" w:lineRule="auto"/>
              <w:rPr>
                <w:sz w:val="22"/>
              </w:rPr>
            </w:pPr>
          </w:p>
        </w:tc>
        <w:tc>
          <w:tcPr>
            <w:tcW w:w="1200" w:type="dxa"/>
          </w:tcPr>
          <w:p w:rsidR="00E16A56" w:rsidRPr="00E16A56" w:rsidRDefault="00E16A56" w:rsidP="009B3A16">
            <w:pPr>
              <w:spacing w:line="300" w:lineRule="auto"/>
              <w:rPr>
                <w:sz w:val="22"/>
              </w:rPr>
            </w:pPr>
          </w:p>
        </w:tc>
      </w:tr>
      <w:tr w:rsidR="00E16A56" w:rsidRPr="00E16A56" w:rsidTr="00407AD6">
        <w:tc>
          <w:tcPr>
            <w:tcW w:w="2700" w:type="dxa"/>
          </w:tcPr>
          <w:p w:rsidR="00E16A56" w:rsidRPr="00E16A56" w:rsidRDefault="00E16A56" w:rsidP="00E16A56">
            <w:pPr>
              <w:spacing w:line="300" w:lineRule="auto"/>
              <w:rPr>
                <w:sz w:val="22"/>
              </w:rPr>
            </w:pPr>
          </w:p>
        </w:tc>
        <w:tc>
          <w:tcPr>
            <w:tcW w:w="7696" w:type="dxa"/>
            <w:gridSpan w:val="6"/>
          </w:tcPr>
          <w:p w:rsidR="00E16A56" w:rsidRPr="006C34A9" w:rsidRDefault="00E16A56" w:rsidP="00E16A56">
            <w:pPr>
              <w:spacing w:line="300" w:lineRule="auto"/>
              <w:jc w:val="center"/>
              <w:rPr>
                <w:b/>
                <w:sz w:val="22"/>
                <w:u w:val="single"/>
              </w:rPr>
            </w:pPr>
            <w:r w:rsidRPr="006C34A9">
              <w:rPr>
                <w:b/>
                <w:sz w:val="22"/>
                <w:u w:val="single"/>
              </w:rPr>
              <w:t>Overall Workforce</w:t>
            </w:r>
          </w:p>
        </w:tc>
      </w:tr>
      <w:tr w:rsidR="00407AD6" w:rsidRPr="00352FE2" w:rsidTr="00407AD6">
        <w:tc>
          <w:tcPr>
            <w:tcW w:w="2700" w:type="dxa"/>
          </w:tcPr>
          <w:p w:rsidR="00E16A56" w:rsidRPr="00E16A56" w:rsidRDefault="00E16A56" w:rsidP="00E16A56">
            <w:pPr>
              <w:spacing w:line="300" w:lineRule="auto"/>
              <w:rPr>
                <w:sz w:val="22"/>
              </w:rPr>
            </w:pPr>
            <w:r>
              <w:rPr>
                <w:sz w:val="22"/>
              </w:rPr>
              <w:t>Employment</w:t>
            </w:r>
          </w:p>
        </w:tc>
        <w:tc>
          <w:tcPr>
            <w:tcW w:w="1586" w:type="dxa"/>
          </w:tcPr>
          <w:p w:rsidR="00E16A56" w:rsidRPr="00E16A56" w:rsidRDefault="00E16A56" w:rsidP="00E16A56">
            <w:pPr>
              <w:spacing w:line="300" w:lineRule="auto"/>
              <w:jc w:val="right"/>
              <w:rPr>
                <w:sz w:val="22"/>
              </w:rPr>
            </w:pPr>
            <w:r>
              <w:rPr>
                <w:sz w:val="22"/>
              </w:rPr>
              <w:t>1,767,200</w:t>
            </w:r>
          </w:p>
        </w:tc>
        <w:tc>
          <w:tcPr>
            <w:tcW w:w="1195" w:type="dxa"/>
          </w:tcPr>
          <w:p w:rsidR="00E16A56" w:rsidRPr="00E16A56" w:rsidRDefault="00E16A56" w:rsidP="00E16A56">
            <w:pPr>
              <w:spacing w:line="300" w:lineRule="auto"/>
              <w:jc w:val="right"/>
              <w:rPr>
                <w:sz w:val="22"/>
              </w:rPr>
            </w:pPr>
            <w:r>
              <w:rPr>
                <w:sz w:val="22"/>
              </w:rPr>
              <w:t>1,478,700</w:t>
            </w:r>
          </w:p>
        </w:tc>
        <w:tc>
          <w:tcPr>
            <w:tcW w:w="1251" w:type="dxa"/>
          </w:tcPr>
          <w:p w:rsidR="00E16A56" w:rsidRPr="00E16A56" w:rsidRDefault="00E16A56" w:rsidP="00E16A56">
            <w:pPr>
              <w:spacing w:line="300" w:lineRule="auto"/>
              <w:jc w:val="right"/>
              <w:rPr>
                <w:sz w:val="22"/>
              </w:rPr>
            </w:pPr>
            <w:r>
              <w:rPr>
                <w:sz w:val="22"/>
              </w:rPr>
              <w:t>1,535,300</w:t>
            </w:r>
          </w:p>
        </w:tc>
        <w:tc>
          <w:tcPr>
            <w:tcW w:w="1269" w:type="dxa"/>
          </w:tcPr>
          <w:p w:rsidR="00E16A56" w:rsidRPr="00E16A56" w:rsidRDefault="00E16A56" w:rsidP="00E16A56">
            <w:pPr>
              <w:spacing w:line="300" w:lineRule="auto"/>
              <w:jc w:val="right"/>
              <w:rPr>
                <w:sz w:val="22"/>
              </w:rPr>
            </w:pPr>
            <w:r>
              <w:rPr>
                <w:sz w:val="22"/>
              </w:rPr>
              <w:t>1,740,900</w:t>
            </w:r>
          </w:p>
        </w:tc>
        <w:tc>
          <w:tcPr>
            <w:tcW w:w="1195" w:type="dxa"/>
          </w:tcPr>
          <w:p w:rsidR="00E16A56" w:rsidRPr="00E16A56" w:rsidRDefault="00E16A56" w:rsidP="00E16A56">
            <w:pPr>
              <w:spacing w:line="300" w:lineRule="auto"/>
              <w:jc w:val="right"/>
              <w:rPr>
                <w:sz w:val="22"/>
              </w:rPr>
            </w:pPr>
            <w:r>
              <w:rPr>
                <w:sz w:val="22"/>
              </w:rPr>
              <w:t>1</w:t>
            </w:r>
            <w:r w:rsidR="007C2023">
              <w:rPr>
                <w:sz w:val="22"/>
              </w:rPr>
              <w:t>,868,100</w:t>
            </w:r>
          </w:p>
        </w:tc>
        <w:tc>
          <w:tcPr>
            <w:tcW w:w="1200" w:type="dxa"/>
          </w:tcPr>
          <w:p w:rsidR="00E16A56" w:rsidRPr="00352FE2" w:rsidRDefault="007C2023" w:rsidP="00E16A56">
            <w:pPr>
              <w:spacing w:line="300" w:lineRule="auto"/>
              <w:jc w:val="right"/>
              <w:rPr>
                <w:i/>
                <w:sz w:val="22"/>
              </w:rPr>
            </w:pPr>
            <w:r>
              <w:rPr>
                <w:i/>
                <w:sz w:val="22"/>
              </w:rPr>
              <w:t>105.71%</w:t>
            </w:r>
          </w:p>
        </w:tc>
      </w:tr>
      <w:tr w:rsidR="00407AD6" w:rsidRPr="00352FE2" w:rsidTr="00407AD6">
        <w:trPr>
          <w:trHeight w:val="243"/>
        </w:trPr>
        <w:tc>
          <w:tcPr>
            <w:tcW w:w="2700" w:type="dxa"/>
          </w:tcPr>
          <w:p w:rsidR="00E16A56" w:rsidRPr="00E16A56" w:rsidRDefault="00E16A56" w:rsidP="00E16A56">
            <w:pPr>
              <w:spacing w:line="300" w:lineRule="auto"/>
              <w:rPr>
                <w:sz w:val="22"/>
              </w:rPr>
            </w:pPr>
            <w:r>
              <w:rPr>
                <w:sz w:val="22"/>
              </w:rPr>
              <w:t>Average weekly earnings</w:t>
            </w:r>
          </w:p>
        </w:tc>
        <w:tc>
          <w:tcPr>
            <w:tcW w:w="1586" w:type="dxa"/>
          </w:tcPr>
          <w:p w:rsidR="00E16A56" w:rsidRPr="00E16A56" w:rsidRDefault="00E16A56" w:rsidP="00E16A56">
            <w:pPr>
              <w:spacing w:line="300" w:lineRule="auto"/>
              <w:jc w:val="right"/>
              <w:rPr>
                <w:sz w:val="22"/>
              </w:rPr>
            </w:pPr>
            <w:r>
              <w:rPr>
                <w:sz w:val="22"/>
              </w:rPr>
              <w:t xml:space="preserve">    704.60</w:t>
            </w:r>
          </w:p>
        </w:tc>
        <w:tc>
          <w:tcPr>
            <w:tcW w:w="1195" w:type="dxa"/>
          </w:tcPr>
          <w:p w:rsidR="00E16A56" w:rsidRPr="00E16A56" w:rsidRDefault="00E16A56" w:rsidP="00E16A56">
            <w:pPr>
              <w:spacing w:line="300" w:lineRule="auto"/>
              <w:jc w:val="right"/>
              <w:rPr>
                <w:sz w:val="22"/>
              </w:rPr>
            </w:pPr>
            <w:r>
              <w:rPr>
                <w:sz w:val="22"/>
              </w:rPr>
              <w:t xml:space="preserve">    684.87</w:t>
            </w:r>
          </w:p>
        </w:tc>
        <w:tc>
          <w:tcPr>
            <w:tcW w:w="1251" w:type="dxa"/>
          </w:tcPr>
          <w:p w:rsidR="00E16A56" w:rsidRPr="00E16A56" w:rsidRDefault="00E16A56" w:rsidP="00E16A56">
            <w:pPr>
              <w:spacing w:line="300" w:lineRule="auto"/>
              <w:jc w:val="right"/>
              <w:rPr>
                <w:sz w:val="22"/>
              </w:rPr>
            </w:pPr>
            <w:r>
              <w:rPr>
                <w:sz w:val="22"/>
              </w:rPr>
              <w:t xml:space="preserve">     699.67</w:t>
            </w:r>
          </w:p>
        </w:tc>
        <w:tc>
          <w:tcPr>
            <w:tcW w:w="1269" w:type="dxa"/>
          </w:tcPr>
          <w:p w:rsidR="00E16A56" w:rsidRPr="00E16A56" w:rsidRDefault="00E16A56" w:rsidP="00E16A56">
            <w:pPr>
              <w:spacing w:line="300" w:lineRule="auto"/>
              <w:jc w:val="right"/>
              <w:rPr>
                <w:sz w:val="22"/>
              </w:rPr>
            </w:pPr>
            <w:r>
              <w:rPr>
                <w:sz w:val="22"/>
              </w:rPr>
              <w:t xml:space="preserve">     725.12</w:t>
            </w:r>
          </w:p>
        </w:tc>
        <w:tc>
          <w:tcPr>
            <w:tcW w:w="1195" w:type="dxa"/>
          </w:tcPr>
          <w:p w:rsidR="00E16A56" w:rsidRPr="00E16A56" w:rsidRDefault="007C2023" w:rsidP="00E16A56">
            <w:pPr>
              <w:spacing w:line="300" w:lineRule="auto"/>
              <w:jc w:val="right"/>
              <w:rPr>
                <w:sz w:val="22"/>
              </w:rPr>
            </w:pPr>
            <w:r>
              <w:rPr>
                <w:sz w:val="22"/>
              </w:rPr>
              <w:t>761.65</w:t>
            </w:r>
          </w:p>
        </w:tc>
        <w:tc>
          <w:tcPr>
            <w:tcW w:w="1200" w:type="dxa"/>
          </w:tcPr>
          <w:p w:rsidR="00E16A56" w:rsidRPr="00352FE2" w:rsidRDefault="007C2023" w:rsidP="00E16A56">
            <w:pPr>
              <w:spacing w:line="300" w:lineRule="auto"/>
              <w:jc w:val="right"/>
              <w:rPr>
                <w:i/>
                <w:sz w:val="22"/>
              </w:rPr>
            </w:pPr>
            <w:r>
              <w:rPr>
                <w:i/>
                <w:sz w:val="22"/>
              </w:rPr>
              <w:t>108.81%</w:t>
            </w:r>
          </w:p>
        </w:tc>
      </w:tr>
      <w:tr w:rsidR="00E16A56" w:rsidRPr="00352FE2" w:rsidTr="00407AD6">
        <w:trPr>
          <w:trHeight w:val="243"/>
        </w:trPr>
        <w:tc>
          <w:tcPr>
            <w:tcW w:w="2700" w:type="dxa"/>
          </w:tcPr>
          <w:p w:rsidR="00E16A56" w:rsidRDefault="00E16A56" w:rsidP="00E16A56">
            <w:pPr>
              <w:spacing w:line="300" w:lineRule="auto"/>
              <w:rPr>
                <w:sz w:val="22"/>
              </w:rPr>
            </w:pPr>
            <w:r>
              <w:rPr>
                <w:sz w:val="22"/>
              </w:rPr>
              <w:t>Average hourly earnings</w:t>
            </w:r>
          </w:p>
        </w:tc>
        <w:tc>
          <w:tcPr>
            <w:tcW w:w="1586" w:type="dxa"/>
          </w:tcPr>
          <w:p w:rsidR="00E16A56" w:rsidRDefault="00E16A56" w:rsidP="00E16A56">
            <w:pPr>
              <w:spacing w:line="300" w:lineRule="auto"/>
              <w:jc w:val="right"/>
              <w:rPr>
                <w:sz w:val="22"/>
              </w:rPr>
            </w:pPr>
            <w:r>
              <w:rPr>
                <w:sz w:val="22"/>
              </w:rPr>
              <w:t xml:space="preserve">      21.56</w:t>
            </w:r>
          </w:p>
        </w:tc>
        <w:tc>
          <w:tcPr>
            <w:tcW w:w="1195" w:type="dxa"/>
          </w:tcPr>
          <w:p w:rsidR="00E16A56" w:rsidRDefault="00E16A56" w:rsidP="00E16A56">
            <w:pPr>
              <w:spacing w:line="300" w:lineRule="auto"/>
              <w:jc w:val="right"/>
              <w:rPr>
                <w:sz w:val="22"/>
              </w:rPr>
            </w:pPr>
            <w:r>
              <w:rPr>
                <w:sz w:val="22"/>
              </w:rPr>
              <w:t xml:space="preserve">      22.18</w:t>
            </w:r>
          </w:p>
        </w:tc>
        <w:tc>
          <w:tcPr>
            <w:tcW w:w="1251" w:type="dxa"/>
          </w:tcPr>
          <w:p w:rsidR="00E16A56" w:rsidRDefault="00352FE2" w:rsidP="00E16A56">
            <w:pPr>
              <w:spacing w:line="300" w:lineRule="auto"/>
              <w:jc w:val="right"/>
              <w:rPr>
                <w:sz w:val="22"/>
              </w:rPr>
            </w:pPr>
            <w:r>
              <w:rPr>
                <w:sz w:val="22"/>
              </w:rPr>
              <w:t xml:space="preserve">       20.89</w:t>
            </w:r>
          </w:p>
        </w:tc>
        <w:tc>
          <w:tcPr>
            <w:tcW w:w="1269" w:type="dxa"/>
          </w:tcPr>
          <w:p w:rsidR="00E16A56" w:rsidRDefault="00E16A56" w:rsidP="00E16A56">
            <w:pPr>
              <w:spacing w:line="300" w:lineRule="auto"/>
              <w:jc w:val="right"/>
              <w:rPr>
                <w:sz w:val="22"/>
              </w:rPr>
            </w:pPr>
            <w:r>
              <w:rPr>
                <w:sz w:val="22"/>
              </w:rPr>
              <w:t xml:space="preserve">       22.27</w:t>
            </w:r>
          </w:p>
        </w:tc>
        <w:tc>
          <w:tcPr>
            <w:tcW w:w="1195" w:type="dxa"/>
          </w:tcPr>
          <w:p w:rsidR="00E16A56" w:rsidRDefault="007C2023" w:rsidP="007C2023">
            <w:pPr>
              <w:spacing w:line="300" w:lineRule="auto"/>
              <w:jc w:val="right"/>
              <w:rPr>
                <w:sz w:val="22"/>
              </w:rPr>
            </w:pPr>
            <w:r>
              <w:rPr>
                <w:sz w:val="22"/>
              </w:rPr>
              <w:t>23.46</w:t>
            </w:r>
          </w:p>
        </w:tc>
        <w:tc>
          <w:tcPr>
            <w:tcW w:w="1200" w:type="dxa"/>
          </w:tcPr>
          <w:p w:rsidR="00E16A56" w:rsidRPr="00352FE2" w:rsidRDefault="007C2023" w:rsidP="00E16A56">
            <w:pPr>
              <w:spacing w:line="300" w:lineRule="auto"/>
              <w:jc w:val="right"/>
              <w:rPr>
                <w:i/>
                <w:sz w:val="22"/>
              </w:rPr>
            </w:pPr>
            <w:r>
              <w:rPr>
                <w:i/>
                <w:sz w:val="22"/>
              </w:rPr>
              <w:t>108.81%</w:t>
            </w:r>
          </w:p>
        </w:tc>
      </w:tr>
      <w:tr w:rsidR="003960FA" w:rsidRPr="00E16A56" w:rsidTr="00407AD6">
        <w:trPr>
          <w:trHeight w:val="243"/>
        </w:trPr>
        <w:tc>
          <w:tcPr>
            <w:tcW w:w="2700" w:type="dxa"/>
          </w:tcPr>
          <w:p w:rsidR="003960FA" w:rsidRDefault="003960FA" w:rsidP="00E16A56">
            <w:pPr>
              <w:spacing w:line="300" w:lineRule="auto"/>
              <w:rPr>
                <w:sz w:val="22"/>
              </w:rPr>
            </w:pPr>
          </w:p>
        </w:tc>
        <w:tc>
          <w:tcPr>
            <w:tcW w:w="1586" w:type="dxa"/>
          </w:tcPr>
          <w:p w:rsidR="003960FA" w:rsidRDefault="003960FA" w:rsidP="00E16A56">
            <w:pPr>
              <w:spacing w:line="300" w:lineRule="auto"/>
              <w:jc w:val="right"/>
              <w:rPr>
                <w:sz w:val="22"/>
              </w:rPr>
            </w:pPr>
          </w:p>
        </w:tc>
        <w:tc>
          <w:tcPr>
            <w:tcW w:w="1195" w:type="dxa"/>
          </w:tcPr>
          <w:p w:rsidR="003960FA" w:rsidRDefault="003960FA" w:rsidP="00E16A56">
            <w:pPr>
              <w:spacing w:line="300" w:lineRule="auto"/>
              <w:jc w:val="right"/>
              <w:rPr>
                <w:sz w:val="22"/>
              </w:rPr>
            </w:pPr>
          </w:p>
        </w:tc>
        <w:tc>
          <w:tcPr>
            <w:tcW w:w="1251" w:type="dxa"/>
          </w:tcPr>
          <w:p w:rsidR="003960FA" w:rsidRDefault="003960FA" w:rsidP="00E16A56">
            <w:pPr>
              <w:spacing w:line="300" w:lineRule="auto"/>
              <w:jc w:val="right"/>
              <w:rPr>
                <w:sz w:val="22"/>
              </w:rPr>
            </w:pPr>
          </w:p>
        </w:tc>
        <w:tc>
          <w:tcPr>
            <w:tcW w:w="1269" w:type="dxa"/>
          </w:tcPr>
          <w:p w:rsidR="003960FA" w:rsidRDefault="003960FA" w:rsidP="00E16A56">
            <w:pPr>
              <w:spacing w:line="300" w:lineRule="auto"/>
              <w:jc w:val="right"/>
              <w:rPr>
                <w:sz w:val="22"/>
              </w:rPr>
            </w:pPr>
          </w:p>
        </w:tc>
        <w:tc>
          <w:tcPr>
            <w:tcW w:w="1195" w:type="dxa"/>
          </w:tcPr>
          <w:p w:rsidR="003960FA" w:rsidRDefault="003960FA" w:rsidP="00E16A56">
            <w:pPr>
              <w:spacing w:line="300" w:lineRule="auto"/>
              <w:jc w:val="right"/>
              <w:rPr>
                <w:sz w:val="22"/>
              </w:rPr>
            </w:pPr>
          </w:p>
        </w:tc>
        <w:tc>
          <w:tcPr>
            <w:tcW w:w="1200" w:type="dxa"/>
          </w:tcPr>
          <w:p w:rsidR="003960FA" w:rsidRDefault="003960FA" w:rsidP="00E16A56">
            <w:pPr>
              <w:spacing w:line="300" w:lineRule="auto"/>
              <w:jc w:val="right"/>
              <w:rPr>
                <w:sz w:val="22"/>
              </w:rPr>
            </w:pPr>
          </w:p>
        </w:tc>
      </w:tr>
      <w:tr w:rsidR="00407AD6" w:rsidRPr="00E16A56" w:rsidTr="00407AD6">
        <w:trPr>
          <w:trHeight w:val="243"/>
        </w:trPr>
        <w:tc>
          <w:tcPr>
            <w:tcW w:w="2700" w:type="dxa"/>
          </w:tcPr>
          <w:p w:rsidR="00407AD6" w:rsidRDefault="00407AD6" w:rsidP="00E16A56">
            <w:pPr>
              <w:spacing w:line="300" w:lineRule="auto"/>
              <w:rPr>
                <w:sz w:val="22"/>
              </w:rPr>
            </w:pPr>
          </w:p>
        </w:tc>
        <w:tc>
          <w:tcPr>
            <w:tcW w:w="7696" w:type="dxa"/>
            <w:gridSpan w:val="6"/>
          </w:tcPr>
          <w:p w:rsidR="00407AD6" w:rsidRPr="00407AD6" w:rsidRDefault="00407AD6" w:rsidP="00407AD6">
            <w:pPr>
              <w:spacing w:line="300" w:lineRule="auto"/>
              <w:jc w:val="center"/>
              <w:rPr>
                <w:b/>
                <w:sz w:val="22"/>
                <w:u w:val="single"/>
              </w:rPr>
            </w:pPr>
            <w:r w:rsidRPr="00407AD6">
              <w:rPr>
                <w:b/>
                <w:sz w:val="22"/>
                <w:u w:val="single"/>
              </w:rPr>
              <w:t>Public administration and defence, compulsory social security</w:t>
            </w:r>
          </w:p>
        </w:tc>
      </w:tr>
      <w:tr w:rsidR="003960FA" w:rsidRPr="00E16A56" w:rsidTr="00407AD6">
        <w:trPr>
          <w:trHeight w:val="243"/>
        </w:trPr>
        <w:tc>
          <w:tcPr>
            <w:tcW w:w="2700" w:type="dxa"/>
          </w:tcPr>
          <w:p w:rsidR="003960FA" w:rsidRDefault="003960FA" w:rsidP="00E16A56">
            <w:pPr>
              <w:spacing w:line="300" w:lineRule="auto"/>
              <w:rPr>
                <w:sz w:val="22"/>
              </w:rPr>
            </w:pPr>
            <w:r>
              <w:rPr>
                <w:sz w:val="22"/>
              </w:rPr>
              <w:t>Employment</w:t>
            </w:r>
          </w:p>
        </w:tc>
        <w:tc>
          <w:tcPr>
            <w:tcW w:w="1586" w:type="dxa"/>
          </w:tcPr>
          <w:p w:rsidR="003960FA" w:rsidRDefault="003960FA" w:rsidP="00E16A56">
            <w:pPr>
              <w:spacing w:line="300" w:lineRule="auto"/>
              <w:jc w:val="right"/>
              <w:rPr>
                <w:sz w:val="22"/>
              </w:rPr>
            </w:pPr>
            <w:r>
              <w:rPr>
                <w:sz w:val="22"/>
              </w:rPr>
              <w:t>118,500</w:t>
            </w:r>
          </w:p>
        </w:tc>
        <w:tc>
          <w:tcPr>
            <w:tcW w:w="1195" w:type="dxa"/>
          </w:tcPr>
          <w:p w:rsidR="003960FA" w:rsidRDefault="003960FA" w:rsidP="00E16A56">
            <w:pPr>
              <w:spacing w:line="300" w:lineRule="auto"/>
              <w:jc w:val="right"/>
              <w:rPr>
                <w:sz w:val="22"/>
              </w:rPr>
            </w:pPr>
            <w:r>
              <w:rPr>
                <w:sz w:val="22"/>
              </w:rPr>
              <w:t>113,900</w:t>
            </w:r>
          </w:p>
        </w:tc>
        <w:tc>
          <w:tcPr>
            <w:tcW w:w="1251" w:type="dxa"/>
          </w:tcPr>
          <w:p w:rsidR="003960FA" w:rsidRDefault="003960FA" w:rsidP="00E16A56">
            <w:pPr>
              <w:spacing w:line="300" w:lineRule="auto"/>
              <w:jc w:val="right"/>
              <w:rPr>
                <w:sz w:val="22"/>
              </w:rPr>
            </w:pPr>
            <w:r>
              <w:rPr>
                <w:sz w:val="22"/>
              </w:rPr>
              <w:t>107,000</w:t>
            </w:r>
          </w:p>
        </w:tc>
        <w:tc>
          <w:tcPr>
            <w:tcW w:w="1269" w:type="dxa"/>
          </w:tcPr>
          <w:p w:rsidR="003960FA" w:rsidRDefault="003960FA" w:rsidP="00E16A56">
            <w:pPr>
              <w:spacing w:line="300" w:lineRule="auto"/>
              <w:jc w:val="right"/>
              <w:rPr>
                <w:sz w:val="22"/>
              </w:rPr>
            </w:pPr>
            <w:r>
              <w:rPr>
                <w:sz w:val="22"/>
              </w:rPr>
              <w:t>112,900</w:t>
            </w:r>
          </w:p>
        </w:tc>
        <w:tc>
          <w:tcPr>
            <w:tcW w:w="1195" w:type="dxa"/>
          </w:tcPr>
          <w:p w:rsidR="003960FA" w:rsidRDefault="007C2023" w:rsidP="00E16A56">
            <w:pPr>
              <w:spacing w:line="300" w:lineRule="auto"/>
              <w:jc w:val="right"/>
              <w:rPr>
                <w:sz w:val="22"/>
              </w:rPr>
            </w:pPr>
            <w:r>
              <w:rPr>
                <w:sz w:val="22"/>
              </w:rPr>
              <w:t>130,700</w:t>
            </w:r>
          </w:p>
        </w:tc>
        <w:tc>
          <w:tcPr>
            <w:tcW w:w="1200" w:type="dxa"/>
          </w:tcPr>
          <w:p w:rsidR="003960FA" w:rsidRPr="00352FE2" w:rsidRDefault="007C2023" w:rsidP="00E16A56">
            <w:pPr>
              <w:spacing w:line="300" w:lineRule="auto"/>
              <w:jc w:val="right"/>
              <w:rPr>
                <w:i/>
                <w:sz w:val="22"/>
              </w:rPr>
            </w:pPr>
            <w:r>
              <w:rPr>
                <w:i/>
                <w:sz w:val="22"/>
              </w:rPr>
              <w:t>110.29%</w:t>
            </w:r>
          </w:p>
        </w:tc>
      </w:tr>
      <w:tr w:rsidR="003960FA" w:rsidRPr="00E16A56" w:rsidTr="00407AD6">
        <w:trPr>
          <w:trHeight w:val="243"/>
        </w:trPr>
        <w:tc>
          <w:tcPr>
            <w:tcW w:w="2700" w:type="dxa"/>
          </w:tcPr>
          <w:p w:rsidR="003960FA" w:rsidRDefault="003960FA" w:rsidP="00E16A56">
            <w:pPr>
              <w:spacing w:line="300" w:lineRule="auto"/>
              <w:rPr>
                <w:sz w:val="22"/>
              </w:rPr>
            </w:pPr>
            <w:r>
              <w:rPr>
                <w:sz w:val="22"/>
              </w:rPr>
              <w:t>Average weekly earnings</w:t>
            </w:r>
          </w:p>
        </w:tc>
        <w:tc>
          <w:tcPr>
            <w:tcW w:w="1586" w:type="dxa"/>
          </w:tcPr>
          <w:p w:rsidR="003960FA" w:rsidRDefault="003960FA" w:rsidP="00E16A56">
            <w:pPr>
              <w:spacing w:line="300" w:lineRule="auto"/>
              <w:jc w:val="right"/>
              <w:rPr>
                <w:sz w:val="22"/>
              </w:rPr>
            </w:pPr>
            <w:r>
              <w:rPr>
                <w:sz w:val="22"/>
              </w:rPr>
              <w:t>961.47</w:t>
            </w:r>
          </w:p>
        </w:tc>
        <w:tc>
          <w:tcPr>
            <w:tcW w:w="1195" w:type="dxa"/>
          </w:tcPr>
          <w:p w:rsidR="003960FA" w:rsidRDefault="003960FA" w:rsidP="00E16A56">
            <w:pPr>
              <w:spacing w:line="300" w:lineRule="auto"/>
              <w:jc w:val="right"/>
              <w:rPr>
                <w:sz w:val="22"/>
              </w:rPr>
            </w:pPr>
            <w:r>
              <w:rPr>
                <w:sz w:val="22"/>
              </w:rPr>
              <w:t>918.85</w:t>
            </w:r>
          </w:p>
        </w:tc>
        <w:tc>
          <w:tcPr>
            <w:tcW w:w="1251" w:type="dxa"/>
          </w:tcPr>
          <w:p w:rsidR="003960FA" w:rsidRDefault="003960FA" w:rsidP="00E16A56">
            <w:pPr>
              <w:spacing w:line="300" w:lineRule="auto"/>
              <w:jc w:val="right"/>
              <w:rPr>
                <w:sz w:val="22"/>
              </w:rPr>
            </w:pPr>
            <w:r>
              <w:rPr>
                <w:sz w:val="22"/>
              </w:rPr>
              <w:t>920.92</w:t>
            </w:r>
          </w:p>
        </w:tc>
        <w:tc>
          <w:tcPr>
            <w:tcW w:w="1269" w:type="dxa"/>
          </w:tcPr>
          <w:p w:rsidR="003960FA" w:rsidRDefault="003960FA" w:rsidP="00E16A56">
            <w:pPr>
              <w:spacing w:line="300" w:lineRule="auto"/>
              <w:jc w:val="right"/>
              <w:rPr>
                <w:sz w:val="22"/>
              </w:rPr>
            </w:pPr>
            <w:r>
              <w:rPr>
                <w:sz w:val="22"/>
              </w:rPr>
              <w:t>922.84</w:t>
            </w:r>
          </w:p>
        </w:tc>
        <w:tc>
          <w:tcPr>
            <w:tcW w:w="1195" w:type="dxa"/>
          </w:tcPr>
          <w:p w:rsidR="003960FA" w:rsidRDefault="007C2023" w:rsidP="00E16A56">
            <w:pPr>
              <w:spacing w:line="300" w:lineRule="auto"/>
              <w:jc w:val="right"/>
              <w:rPr>
                <w:sz w:val="22"/>
              </w:rPr>
            </w:pPr>
            <w:r>
              <w:rPr>
                <w:sz w:val="22"/>
              </w:rPr>
              <w:t>955.42</w:t>
            </w:r>
          </w:p>
        </w:tc>
        <w:tc>
          <w:tcPr>
            <w:tcW w:w="1200" w:type="dxa"/>
          </w:tcPr>
          <w:p w:rsidR="003960FA" w:rsidRPr="00352FE2" w:rsidRDefault="007C2023" w:rsidP="00E16A56">
            <w:pPr>
              <w:spacing w:line="300" w:lineRule="auto"/>
              <w:jc w:val="right"/>
              <w:rPr>
                <w:i/>
                <w:sz w:val="22"/>
              </w:rPr>
            </w:pPr>
            <w:r>
              <w:rPr>
                <w:i/>
                <w:sz w:val="22"/>
              </w:rPr>
              <w:t>99.37%</w:t>
            </w:r>
          </w:p>
        </w:tc>
      </w:tr>
      <w:tr w:rsidR="003960FA" w:rsidRPr="00E16A56" w:rsidTr="00407AD6">
        <w:trPr>
          <w:trHeight w:val="243"/>
        </w:trPr>
        <w:tc>
          <w:tcPr>
            <w:tcW w:w="2700" w:type="dxa"/>
          </w:tcPr>
          <w:p w:rsidR="003960FA" w:rsidRDefault="003960FA" w:rsidP="00E16A56">
            <w:pPr>
              <w:spacing w:line="300" w:lineRule="auto"/>
              <w:rPr>
                <w:sz w:val="22"/>
              </w:rPr>
            </w:pPr>
            <w:r>
              <w:rPr>
                <w:sz w:val="22"/>
              </w:rPr>
              <w:t>Average hourly earnings</w:t>
            </w:r>
          </w:p>
        </w:tc>
        <w:tc>
          <w:tcPr>
            <w:tcW w:w="1586" w:type="dxa"/>
          </w:tcPr>
          <w:p w:rsidR="003960FA" w:rsidRDefault="00407AD6" w:rsidP="00E16A56">
            <w:pPr>
              <w:spacing w:line="300" w:lineRule="auto"/>
              <w:jc w:val="right"/>
              <w:rPr>
                <w:sz w:val="22"/>
              </w:rPr>
            </w:pPr>
            <w:r>
              <w:rPr>
                <w:sz w:val="22"/>
              </w:rPr>
              <w:t>27.78</w:t>
            </w:r>
          </w:p>
        </w:tc>
        <w:tc>
          <w:tcPr>
            <w:tcW w:w="1195" w:type="dxa"/>
          </w:tcPr>
          <w:p w:rsidR="003960FA" w:rsidRDefault="00407AD6" w:rsidP="00E16A56">
            <w:pPr>
              <w:spacing w:line="300" w:lineRule="auto"/>
              <w:jc w:val="right"/>
              <w:rPr>
                <w:sz w:val="22"/>
              </w:rPr>
            </w:pPr>
            <w:r>
              <w:rPr>
                <w:sz w:val="22"/>
              </w:rPr>
              <w:t>25.94</w:t>
            </w:r>
          </w:p>
        </w:tc>
        <w:tc>
          <w:tcPr>
            <w:tcW w:w="1251" w:type="dxa"/>
          </w:tcPr>
          <w:p w:rsidR="003960FA" w:rsidRDefault="00407AD6" w:rsidP="00E16A56">
            <w:pPr>
              <w:spacing w:line="300" w:lineRule="auto"/>
              <w:jc w:val="right"/>
              <w:rPr>
                <w:sz w:val="22"/>
              </w:rPr>
            </w:pPr>
            <w:r>
              <w:rPr>
                <w:sz w:val="22"/>
              </w:rPr>
              <w:t>25.55</w:t>
            </w:r>
          </w:p>
        </w:tc>
        <w:tc>
          <w:tcPr>
            <w:tcW w:w="1269" w:type="dxa"/>
          </w:tcPr>
          <w:p w:rsidR="003960FA" w:rsidRDefault="00407AD6" w:rsidP="00E16A56">
            <w:pPr>
              <w:spacing w:line="300" w:lineRule="auto"/>
              <w:jc w:val="right"/>
              <w:rPr>
                <w:sz w:val="22"/>
              </w:rPr>
            </w:pPr>
            <w:r>
              <w:rPr>
                <w:sz w:val="22"/>
              </w:rPr>
              <w:t>25.31</w:t>
            </w:r>
          </w:p>
        </w:tc>
        <w:tc>
          <w:tcPr>
            <w:tcW w:w="1195" w:type="dxa"/>
          </w:tcPr>
          <w:p w:rsidR="003960FA" w:rsidRDefault="007C2023" w:rsidP="00E16A56">
            <w:pPr>
              <w:spacing w:line="300" w:lineRule="auto"/>
              <w:jc w:val="right"/>
              <w:rPr>
                <w:sz w:val="22"/>
              </w:rPr>
            </w:pPr>
            <w:r>
              <w:rPr>
                <w:sz w:val="22"/>
              </w:rPr>
              <w:t>26.07</w:t>
            </w:r>
          </w:p>
        </w:tc>
        <w:tc>
          <w:tcPr>
            <w:tcW w:w="1200" w:type="dxa"/>
          </w:tcPr>
          <w:p w:rsidR="003960FA" w:rsidRPr="00352FE2" w:rsidRDefault="007C2023" w:rsidP="00E16A56">
            <w:pPr>
              <w:spacing w:line="300" w:lineRule="auto"/>
              <w:jc w:val="right"/>
              <w:rPr>
                <w:i/>
                <w:sz w:val="22"/>
              </w:rPr>
            </w:pPr>
            <w:r>
              <w:rPr>
                <w:i/>
                <w:sz w:val="22"/>
              </w:rPr>
              <w:t>93.84%</w:t>
            </w:r>
          </w:p>
        </w:tc>
      </w:tr>
      <w:tr w:rsidR="00407AD6" w:rsidRPr="00E16A56" w:rsidTr="00407AD6">
        <w:trPr>
          <w:trHeight w:val="243"/>
        </w:trPr>
        <w:tc>
          <w:tcPr>
            <w:tcW w:w="2700" w:type="dxa"/>
          </w:tcPr>
          <w:p w:rsidR="00407AD6" w:rsidRDefault="00407AD6" w:rsidP="00E16A56">
            <w:pPr>
              <w:spacing w:line="300" w:lineRule="auto"/>
              <w:rPr>
                <w:sz w:val="22"/>
              </w:rPr>
            </w:pPr>
          </w:p>
        </w:tc>
        <w:tc>
          <w:tcPr>
            <w:tcW w:w="1586" w:type="dxa"/>
          </w:tcPr>
          <w:p w:rsidR="00407AD6" w:rsidRDefault="00407AD6" w:rsidP="00E16A56">
            <w:pPr>
              <w:spacing w:line="300" w:lineRule="auto"/>
              <w:jc w:val="right"/>
              <w:rPr>
                <w:sz w:val="22"/>
              </w:rPr>
            </w:pPr>
          </w:p>
        </w:tc>
        <w:tc>
          <w:tcPr>
            <w:tcW w:w="1195" w:type="dxa"/>
          </w:tcPr>
          <w:p w:rsidR="00407AD6" w:rsidRDefault="00407AD6" w:rsidP="00E16A56">
            <w:pPr>
              <w:spacing w:line="300" w:lineRule="auto"/>
              <w:jc w:val="right"/>
              <w:rPr>
                <w:sz w:val="22"/>
              </w:rPr>
            </w:pPr>
          </w:p>
        </w:tc>
        <w:tc>
          <w:tcPr>
            <w:tcW w:w="1251" w:type="dxa"/>
          </w:tcPr>
          <w:p w:rsidR="00407AD6" w:rsidRDefault="00407AD6" w:rsidP="00E16A56">
            <w:pPr>
              <w:spacing w:line="300" w:lineRule="auto"/>
              <w:jc w:val="right"/>
              <w:rPr>
                <w:sz w:val="22"/>
              </w:rPr>
            </w:pPr>
          </w:p>
        </w:tc>
        <w:tc>
          <w:tcPr>
            <w:tcW w:w="1269" w:type="dxa"/>
          </w:tcPr>
          <w:p w:rsidR="00407AD6" w:rsidRDefault="00407AD6" w:rsidP="00E16A56">
            <w:pPr>
              <w:spacing w:line="300" w:lineRule="auto"/>
              <w:jc w:val="right"/>
              <w:rPr>
                <w:sz w:val="22"/>
              </w:rPr>
            </w:pPr>
          </w:p>
        </w:tc>
        <w:tc>
          <w:tcPr>
            <w:tcW w:w="1195" w:type="dxa"/>
          </w:tcPr>
          <w:p w:rsidR="00407AD6" w:rsidRDefault="00407AD6" w:rsidP="00E16A56">
            <w:pPr>
              <w:spacing w:line="300" w:lineRule="auto"/>
              <w:jc w:val="right"/>
              <w:rPr>
                <w:sz w:val="22"/>
              </w:rPr>
            </w:pPr>
          </w:p>
        </w:tc>
        <w:tc>
          <w:tcPr>
            <w:tcW w:w="1200" w:type="dxa"/>
          </w:tcPr>
          <w:p w:rsidR="00407AD6" w:rsidRDefault="00407AD6" w:rsidP="00E16A56">
            <w:pPr>
              <w:spacing w:line="300" w:lineRule="auto"/>
              <w:jc w:val="right"/>
              <w:rPr>
                <w:sz w:val="22"/>
              </w:rPr>
            </w:pPr>
          </w:p>
        </w:tc>
      </w:tr>
      <w:tr w:rsidR="00E55489" w:rsidRPr="00E16A56" w:rsidTr="00181A5C">
        <w:trPr>
          <w:trHeight w:val="243"/>
        </w:trPr>
        <w:tc>
          <w:tcPr>
            <w:tcW w:w="2700" w:type="dxa"/>
          </w:tcPr>
          <w:p w:rsidR="00E55489" w:rsidRDefault="00E55489" w:rsidP="00E16A56">
            <w:pPr>
              <w:spacing w:line="300" w:lineRule="auto"/>
              <w:rPr>
                <w:sz w:val="22"/>
              </w:rPr>
            </w:pPr>
          </w:p>
        </w:tc>
        <w:tc>
          <w:tcPr>
            <w:tcW w:w="7696" w:type="dxa"/>
            <w:gridSpan w:val="6"/>
          </w:tcPr>
          <w:p w:rsidR="00E55489" w:rsidRDefault="00E55489" w:rsidP="00E55489">
            <w:pPr>
              <w:spacing w:line="300" w:lineRule="auto"/>
              <w:jc w:val="center"/>
              <w:rPr>
                <w:sz w:val="22"/>
              </w:rPr>
            </w:pPr>
            <w:r>
              <w:rPr>
                <w:b/>
                <w:sz w:val="22"/>
                <w:u w:val="single"/>
              </w:rPr>
              <w:t>Education</w:t>
            </w:r>
          </w:p>
        </w:tc>
      </w:tr>
      <w:tr w:rsidR="00407AD6" w:rsidRPr="00352FE2" w:rsidTr="00407AD6">
        <w:trPr>
          <w:trHeight w:val="243"/>
        </w:trPr>
        <w:tc>
          <w:tcPr>
            <w:tcW w:w="2700" w:type="dxa"/>
          </w:tcPr>
          <w:p w:rsidR="00407AD6" w:rsidRDefault="00407AD6" w:rsidP="00E16A56">
            <w:pPr>
              <w:spacing w:line="300" w:lineRule="auto"/>
              <w:rPr>
                <w:sz w:val="22"/>
              </w:rPr>
            </w:pPr>
            <w:r>
              <w:rPr>
                <w:sz w:val="22"/>
              </w:rPr>
              <w:t>Employment</w:t>
            </w:r>
          </w:p>
        </w:tc>
        <w:tc>
          <w:tcPr>
            <w:tcW w:w="1586" w:type="dxa"/>
          </w:tcPr>
          <w:p w:rsidR="00407AD6" w:rsidRDefault="00407AD6" w:rsidP="00E16A56">
            <w:pPr>
              <w:spacing w:line="300" w:lineRule="auto"/>
              <w:jc w:val="right"/>
              <w:rPr>
                <w:sz w:val="22"/>
              </w:rPr>
            </w:pPr>
            <w:r>
              <w:rPr>
                <w:sz w:val="22"/>
              </w:rPr>
              <w:t>133,600</w:t>
            </w:r>
          </w:p>
        </w:tc>
        <w:tc>
          <w:tcPr>
            <w:tcW w:w="1195" w:type="dxa"/>
          </w:tcPr>
          <w:p w:rsidR="00407AD6" w:rsidRDefault="00407AD6" w:rsidP="00E16A56">
            <w:pPr>
              <w:spacing w:line="300" w:lineRule="auto"/>
              <w:jc w:val="right"/>
              <w:rPr>
                <w:sz w:val="22"/>
              </w:rPr>
            </w:pPr>
            <w:r>
              <w:rPr>
                <w:sz w:val="22"/>
              </w:rPr>
              <w:t>129,200</w:t>
            </w:r>
          </w:p>
        </w:tc>
        <w:tc>
          <w:tcPr>
            <w:tcW w:w="1251" w:type="dxa"/>
          </w:tcPr>
          <w:p w:rsidR="00407AD6" w:rsidRDefault="00407AD6" w:rsidP="00E16A56">
            <w:pPr>
              <w:spacing w:line="300" w:lineRule="auto"/>
              <w:jc w:val="right"/>
              <w:rPr>
                <w:sz w:val="22"/>
              </w:rPr>
            </w:pPr>
            <w:r>
              <w:rPr>
                <w:sz w:val="22"/>
              </w:rPr>
              <w:t>134,700</w:t>
            </w:r>
          </w:p>
        </w:tc>
        <w:tc>
          <w:tcPr>
            <w:tcW w:w="1269" w:type="dxa"/>
          </w:tcPr>
          <w:p w:rsidR="00407AD6" w:rsidRDefault="00407AD6" w:rsidP="00E16A56">
            <w:pPr>
              <w:spacing w:line="300" w:lineRule="auto"/>
              <w:jc w:val="right"/>
              <w:rPr>
                <w:sz w:val="22"/>
              </w:rPr>
            </w:pPr>
            <w:r>
              <w:rPr>
                <w:sz w:val="22"/>
              </w:rPr>
              <w:t>146,000</w:t>
            </w:r>
          </w:p>
        </w:tc>
        <w:tc>
          <w:tcPr>
            <w:tcW w:w="1195" w:type="dxa"/>
          </w:tcPr>
          <w:p w:rsidR="00407AD6" w:rsidRDefault="007C2023" w:rsidP="00E16A56">
            <w:pPr>
              <w:spacing w:line="300" w:lineRule="auto"/>
              <w:jc w:val="right"/>
              <w:rPr>
                <w:sz w:val="22"/>
              </w:rPr>
            </w:pPr>
            <w:r>
              <w:rPr>
                <w:sz w:val="22"/>
              </w:rPr>
              <w:t>165,000</w:t>
            </w:r>
          </w:p>
        </w:tc>
        <w:tc>
          <w:tcPr>
            <w:tcW w:w="1200" w:type="dxa"/>
          </w:tcPr>
          <w:p w:rsidR="00407AD6" w:rsidRPr="00352FE2" w:rsidRDefault="007C2023" w:rsidP="00E16A56">
            <w:pPr>
              <w:spacing w:line="300" w:lineRule="auto"/>
              <w:jc w:val="right"/>
              <w:rPr>
                <w:i/>
                <w:sz w:val="22"/>
              </w:rPr>
            </w:pPr>
            <w:r>
              <w:rPr>
                <w:i/>
                <w:sz w:val="22"/>
              </w:rPr>
              <w:t>123.50%</w:t>
            </w:r>
          </w:p>
        </w:tc>
      </w:tr>
      <w:tr w:rsidR="00407AD6" w:rsidRPr="00352FE2" w:rsidTr="00407AD6">
        <w:trPr>
          <w:trHeight w:val="243"/>
        </w:trPr>
        <w:tc>
          <w:tcPr>
            <w:tcW w:w="2700" w:type="dxa"/>
          </w:tcPr>
          <w:p w:rsidR="00407AD6" w:rsidRDefault="00407AD6" w:rsidP="00E16A56">
            <w:pPr>
              <w:spacing w:line="300" w:lineRule="auto"/>
              <w:rPr>
                <w:sz w:val="22"/>
              </w:rPr>
            </w:pPr>
            <w:r>
              <w:rPr>
                <w:sz w:val="22"/>
              </w:rPr>
              <w:t>Average weekly earnings</w:t>
            </w:r>
          </w:p>
        </w:tc>
        <w:tc>
          <w:tcPr>
            <w:tcW w:w="1586" w:type="dxa"/>
          </w:tcPr>
          <w:p w:rsidR="00407AD6" w:rsidRDefault="00E55489" w:rsidP="00E16A56">
            <w:pPr>
              <w:spacing w:line="300" w:lineRule="auto"/>
              <w:jc w:val="right"/>
              <w:rPr>
                <w:sz w:val="22"/>
              </w:rPr>
            </w:pPr>
            <w:r>
              <w:rPr>
                <w:sz w:val="22"/>
              </w:rPr>
              <w:t>838.72</w:t>
            </w:r>
          </w:p>
        </w:tc>
        <w:tc>
          <w:tcPr>
            <w:tcW w:w="1195" w:type="dxa"/>
          </w:tcPr>
          <w:p w:rsidR="00407AD6" w:rsidRDefault="00E55489" w:rsidP="00E16A56">
            <w:pPr>
              <w:spacing w:line="300" w:lineRule="auto"/>
              <w:jc w:val="right"/>
              <w:rPr>
                <w:sz w:val="22"/>
              </w:rPr>
            </w:pPr>
            <w:r>
              <w:rPr>
                <w:sz w:val="22"/>
              </w:rPr>
              <w:t>831.49</w:t>
            </w:r>
          </w:p>
        </w:tc>
        <w:tc>
          <w:tcPr>
            <w:tcW w:w="1251" w:type="dxa"/>
          </w:tcPr>
          <w:p w:rsidR="00407AD6" w:rsidRDefault="00E55489" w:rsidP="00E16A56">
            <w:pPr>
              <w:spacing w:line="300" w:lineRule="auto"/>
              <w:jc w:val="right"/>
              <w:rPr>
                <w:sz w:val="22"/>
              </w:rPr>
            </w:pPr>
            <w:r>
              <w:rPr>
                <w:sz w:val="22"/>
              </w:rPr>
              <w:t>802.18</w:t>
            </w:r>
          </w:p>
        </w:tc>
        <w:tc>
          <w:tcPr>
            <w:tcW w:w="1269" w:type="dxa"/>
          </w:tcPr>
          <w:p w:rsidR="00407AD6" w:rsidRDefault="00E55489" w:rsidP="00E16A56">
            <w:pPr>
              <w:spacing w:line="300" w:lineRule="auto"/>
              <w:jc w:val="right"/>
              <w:rPr>
                <w:sz w:val="22"/>
              </w:rPr>
            </w:pPr>
            <w:r>
              <w:rPr>
                <w:sz w:val="22"/>
              </w:rPr>
              <w:t>801.06</w:t>
            </w:r>
          </w:p>
        </w:tc>
        <w:tc>
          <w:tcPr>
            <w:tcW w:w="1195" w:type="dxa"/>
          </w:tcPr>
          <w:p w:rsidR="00407AD6" w:rsidRDefault="007C2023" w:rsidP="00E16A56">
            <w:pPr>
              <w:spacing w:line="300" w:lineRule="auto"/>
              <w:jc w:val="right"/>
              <w:rPr>
                <w:sz w:val="22"/>
              </w:rPr>
            </w:pPr>
            <w:r>
              <w:rPr>
                <w:sz w:val="22"/>
              </w:rPr>
              <w:t>861.13</w:t>
            </w:r>
          </w:p>
        </w:tc>
        <w:tc>
          <w:tcPr>
            <w:tcW w:w="1200" w:type="dxa"/>
          </w:tcPr>
          <w:p w:rsidR="00407AD6" w:rsidRPr="00352FE2" w:rsidRDefault="007C2023" w:rsidP="00E16A56">
            <w:pPr>
              <w:spacing w:line="300" w:lineRule="auto"/>
              <w:jc w:val="right"/>
              <w:rPr>
                <w:i/>
                <w:sz w:val="22"/>
              </w:rPr>
            </w:pPr>
            <w:r>
              <w:rPr>
                <w:i/>
                <w:sz w:val="22"/>
              </w:rPr>
              <w:t>102.67%</w:t>
            </w:r>
          </w:p>
        </w:tc>
      </w:tr>
      <w:tr w:rsidR="00E55489" w:rsidRPr="00352FE2" w:rsidTr="00407AD6">
        <w:trPr>
          <w:trHeight w:val="243"/>
        </w:trPr>
        <w:tc>
          <w:tcPr>
            <w:tcW w:w="2700" w:type="dxa"/>
          </w:tcPr>
          <w:p w:rsidR="00E55489" w:rsidRDefault="00E55489" w:rsidP="00E16A56">
            <w:pPr>
              <w:spacing w:line="300" w:lineRule="auto"/>
              <w:rPr>
                <w:sz w:val="22"/>
              </w:rPr>
            </w:pPr>
            <w:r>
              <w:rPr>
                <w:sz w:val="22"/>
              </w:rPr>
              <w:t>Average hourly earnings</w:t>
            </w:r>
          </w:p>
        </w:tc>
        <w:tc>
          <w:tcPr>
            <w:tcW w:w="1586" w:type="dxa"/>
          </w:tcPr>
          <w:p w:rsidR="00E55489" w:rsidRDefault="00E55489" w:rsidP="00E16A56">
            <w:pPr>
              <w:spacing w:line="300" w:lineRule="auto"/>
              <w:jc w:val="right"/>
              <w:rPr>
                <w:sz w:val="22"/>
              </w:rPr>
            </w:pPr>
            <w:r>
              <w:rPr>
                <w:sz w:val="22"/>
              </w:rPr>
              <w:t>33.75</w:t>
            </w:r>
          </w:p>
        </w:tc>
        <w:tc>
          <w:tcPr>
            <w:tcW w:w="1195" w:type="dxa"/>
          </w:tcPr>
          <w:p w:rsidR="00E55489" w:rsidRDefault="00E55489" w:rsidP="00E16A56">
            <w:pPr>
              <w:spacing w:line="300" w:lineRule="auto"/>
              <w:jc w:val="right"/>
              <w:rPr>
                <w:sz w:val="22"/>
              </w:rPr>
            </w:pPr>
            <w:r>
              <w:rPr>
                <w:sz w:val="22"/>
              </w:rPr>
              <w:t>35.96</w:t>
            </w:r>
          </w:p>
        </w:tc>
        <w:tc>
          <w:tcPr>
            <w:tcW w:w="1251" w:type="dxa"/>
          </w:tcPr>
          <w:p w:rsidR="00E55489" w:rsidRDefault="00E55489" w:rsidP="00E16A56">
            <w:pPr>
              <w:spacing w:line="300" w:lineRule="auto"/>
              <w:jc w:val="right"/>
              <w:rPr>
                <w:sz w:val="22"/>
              </w:rPr>
            </w:pPr>
            <w:r>
              <w:rPr>
                <w:sz w:val="22"/>
              </w:rPr>
              <w:t>34.35</w:t>
            </w:r>
          </w:p>
        </w:tc>
        <w:tc>
          <w:tcPr>
            <w:tcW w:w="1269" w:type="dxa"/>
          </w:tcPr>
          <w:p w:rsidR="00E55489" w:rsidRDefault="00E55489" w:rsidP="00E16A56">
            <w:pPr>
              <w:spacing w:line="300" w:lineRule="auto"/>
              <w:jc w:val="right"/>
              <w:rPr>
                <w:sz w:val="22"/>
              </w:rPr>
            </w:pPr>
            <w:r>
              <w:rPr>
                <w:sz w:val="22"/>
              </w:rPr>
              <w:t>33.70</w:t>
            </w:r>
          </w:p>
        </w:tc>
        <w:tc>
          <w:tcPr>
            <w:tcW w:w="1195" w:type="dxa"/>
          </w:tcPr>
          <w:p w:rsidR="00E55489" w:rsidRDefault="007C2023" w:rsidP="00E16A56">
            <w:pPr>
              <w:spacing w:line="300" w:lineRule="auto"/>
              <w:jc w:val="right"/>
              <w:rPr>
                <w:sz w:val="22"/>
              </w:rPr>
            </w:pPr>
            <w:r>
              <w:rPr>
                <w:sz w:val="22"/>
              </w:rPr>
              <w:t>36.27</w:t>
            </w:r>
          </w:p>
        </w:tc>
        <w:tc>
          <w:tcPr>
            <w:tcW w:w="1200" w:type="dxa"/>
          </w:tcPr>
          <w:p w:rsidR="00E55489" w:rsidRPr="00352FE2" w:rsidRDefault="007C2023" w:rsidP="00E16A56">
            <w:pPr>
              <w:spacing w:line="300" w:lineRule="auto"/>
              <w:jc w:val="right"/>
              <w:rPr>
                <w:i/>
                <w:sz w:val="22"/>
              </w:rPr>
            </w:pPr>
            <w:r>
              <w:rPr>
                <w:i/>
                <w:sz w:val="22"/>
              </w:rPr>
              <w:t>107.46%</w:t>
            </w:r>
          </w:p>
        </w:tc>
      </w:tr>
      <w:tr w:rsidR="00E55489" w:rsidRPr="00E16A56" w:rsidTr="00407AD6">
        <w:trPr>
          <w:trHeight w:val="243"/>
        </w:trPr>
        <w:tc>
          <w:tcPr>
            <w:tcW w:w="2700" w:type="dxa"/>
          </w:tcPr>
          <w:p w:rsidR="00E55489" w:rsidRDefault="00E55489" w:rsidP="00E16A56">
            <w:pPr>
              <w:spacing w:line="300" w:lineRule="auto"/>
              <w:rPr>
                <w:sz w:val="22"/>
              </w:rPr>
            </w:pPr>
          </w:p>
        </w:tc>
        <w:tc>
          <w:tcPr>
            <w:tcW w:w="1586" w:type="dxa"/>
          </w:tcPr>
          <w:p w:rsidR="00E55489" w:rsidRDefault="00E55489" w:rsidP="00E16A56">
            <w:pPr>
              <w:spacing w:line="300" w:lineRule="auto"/>
              <w:jc w:val="right"/>
              <w:rPr>
                <w:sz w:val="22"/>
              </w:rPr>
            </w:pPr>
          </w:p>
        </w:tc>
        <w:tc>
          <w:tcPr>
            <w:tcW w:w="1195" w:type="dxa"/>
          </w:tcPr>
          <w:p w:rsidR="00E55489" w:rsidRDefault="00E55489" w:rsidP="00E16A56">
            <w:pPr>
              <w:spacing w:line="300" w:lineRule="auto"/>
              <w:jc w:val="right"/>
              <w:rPr>
                <w:sz w:val="22"/>
              </w:rPr>
            </w:pPr>
          </w:p>
        </w:tc>
        <w:tc>
          <w:tcPr>
            <w:tcW w:w="1251" w:type="dxa"/>
          </w:tcPr>
          <w:p w:rsidR="00E55489" w:rsidRDefault="00E55489" w:rsidP="00E16A56">
            <w:pPr>
              <w:spacing w:line="300" w:lineRule="auto"/>
              <w:jc w:val="right"/>
              <w:rPr>
                <w:sz w:val="22"/>
              </w:rPr>
            </w:pPr>
          </w:p>
        </w:tc>
        <w:tc>
          <w:tcPr>
            <w:tcW w:w="1269" w:type="dxa"/>
          </w:tcPr>
          <w:p w:rsidR="00E55489" w:rsidRDefault="00E55489" w:rsidP="00E16A56">
            <w:pPr>
              <w:spacing w:line="300" w:lineRule="auto"/>
              <w:jc w:val="right"/>
              <w:rPr>
                <w:sz w:val="22"/>
              </w:rPr>
            </w:pPr>
          </w:p>
        </w:tc>
        <w:tc>
          <w:tcPr>
            <w:tcW w:w="1195" w:type="dxa"/>
          </w:tcPr>
          <w:p w:rsidR="00E55489" w:rsidRDefault="00E55489" w:rsidP="00E16A56">
            <w:pPr>
              <w:spacing w:line="300" w:lineRule="auto"/>
              <w:jc w:val="right"/>
              <w:rPr>
                <w:sz w:val="22"/>
              </w:rPr>
            </w:pPr>
          </w:p>
        </w:tc>
        <w:tc>
          <w:tcPr>
            <w:tcW w:w="1200" w:type="dxa"/>
          </w:tcPr>
          <w:p w:rsidR="00E55489" w:rsidRDefault="00E55489" w:rsidP="00E16A56">
            <w:pPr>
              <w:spacing w:line="300" w:lineRule="auto"/>
              <w:jc w:val="right"/>
              <w:rPr>
                <w:sz w:val="22"/>
              </w:rPr>
            </w:pPr>
          </w:p>
        </w:tc>
      </w:tr>
      <w:tr w:rsidR="00E55489" w:rsidRPr="00E16A56" w:rsidTr="00A54262">
        <w:trPr>
          <w:trHeight w:val="243"/>
        </w:trPr>
        <w:tc>
          <w:tcPr>
            <w:tcW w:w="2700" w:type="dxa"/>
          </w:tcPr>
          <w:p w:rsidR="00E55489" w:rsidRDefault="00E55489" w:rsidP="00E16A56">
            <w:pPr>
              <w:spacing w:line="300" w:lineRule="auto"/>
              <w:rPr>
                <w:sz w:val="22"/>
              </w:rPr>
            </w:pPr>
          </w:p>
        </w:tc>
        <w:tc>
          <w:tcPr>
            <w:tcW w:w="7696" w:type="dxa"/>
            <w:gridSpan w:val="6"/>
          </w:tcPr>
          <w:p w:rsidR="00E55489" w:rsidRDefault="00E55489" w:rsidP="00E55489">
            <w:pPr>
              <w:spacing w:line="300" w:lineRule="auto"/>
              <w:jc w:val="center"/>
              <w:rPr>
                <w:sz w:val="22"/>
              </w:rPr>
            </w:pPr>
            <w:r w:rsidRPr="00E55489">
              <w:rPr>
                <w:b/>
                <w:sz w:val="22"/>
                <w:u w:val="single"/>
              </w:rPr>
              <w:t>Human health and social Work</w:t>
            </w:r>
          </w:p>
        </w:tc>
      </w:tr>
      <w:tr w:rsidR="00E55489" w:rsidRPr="00352FE2" w:rsidTr="00407AD6">
        <w:trPr>
          <w:trHeight w:val="243"/>
        </w:trPr>
        <w:tc>
          <w:tcPr>
            <w:tcW w:w="2700" w:type="dxa"/>
          </w:tcPr>
          <w:p w:rsidR="00E55489" w:rsidRDefault="00E55489" w:rsidP="00E16A56">
            <w:pPr>
              <w:spacing w:line="300" w:lineRule="auto"/>
              <w:rPr>
                <w:sz w:val="22"/>
              </w:rPr>
            </w:pPr>
            <w:r>
              <w:rPr>
                <w:sz w:val="22"/>
              </w:rPr>
              <w:t>Employment</w:t>
            </w:r>
          </w:p>
        </w:tc>
        <w:tc>
          <w:tcPr>
            <w:tcW w:w="1586" w:type="dxa"/>
          </w:tcPr>
          <w:p w:rsidR="00E55489" w:rsidRDefault="00E55489" w:rsidP="00E16A56">
            <w:pPr>
              <w:spacing w:line="300" w:lineRule="auto"/>
              <w:jc w:val="right"/>
              <w:rPr>
                <w:sz w:val="22"/>
              </w:rPr>
            </w:pPr>
            <w:r>
              <w:rPr>
                <w:sz w:val="22"/>
              </w:rPr>
              <w:t>206,000</w:t>
            </w:r>
          </w:p>
        </w:tc>
        <w:tc>
          <w:tcPr>
            <w:tcW w:w="1195" w:type="dxa"/>
          </w:tcPr>
          <w:p w:rsidR="00E55489" w:rsidRDefault="00E55489" w:rsidP="00E16A56">
            <w:pPr>
              <w:spacing w:line="300" w:lineRule="auto"/>
              <w:jc w:val="right"/>
              <w:rPr>
                <w:sz w:val="22"/>
              </w:rPr>
            </w:pPr>
            <w:r>
              <w:rPr>
                <w:sz w:val="22"/>
              </w:rPr>
              <w:t>211,800</w:t>
            </w:r>
          </w:p>
        </w:tc>
        <w:tc>
          <w:tcPr>
            <w:tcW w:w="1251" w:type="dxa"/>
          </w:tcPr>
          <w:p w:rsidR="00E55489" w:rsidRDefault="00E55489" w:rsidP="00E16A56">
            <w:pPr>
              <w:spacing w:line="300" w:lineRule="auto"/>
              <w:jc w:val="right"/>
              <w:rPr>
                <w:sz w:val="22"/>
              </w:rPr>
            </w:pPr>
            <w:r>
              <w:rPr>
                <w:sz w:val="22"/>
              </w:rPr>
              <w:t>219,400</w:t>
            </w:r>
          </w:p>
        </w:tc>
        <w:tc>
          <w:tcPr>
            <w:tcW w:w="1269" w:type="dxa"/>
          </w:tcPr>
          <w:p w:rsidR="00E55489" w:rsidRDefault="00E55489" w:rsidP="00E16A56">
            <w:pPr>
              <w:spacing w:line="300" w:lineRule="auto"/>
              <w:jc w:val="right"/>
              <w:rPr>
                <w:sz w:val="22"/>
              </w:rPr>
            </w:pPr>
            <w:r>
              <w:rPr>
                <w:sz w:val="22"/>
              </w:rPr>
              <w:t>235,800</w:t>
            </w:r>
          </w:p>
        </w:tc>
        <w:tc>
          <w:tcPr>
            <w:tcW w:w="1195" w:type="dxa"/>
          </w:tcPr>
          <w:p w:rsidR="00E55489" w:rsidRDefault="007C2023" w:rsidP="00E16A56">
            <w:pPr>
              <w:spacing w:line="300" w:lineRule="auto"/>
              <w:jc w:val="right"/>
              <w:rPr>
                <w:sz w:val="22"/>
              </w:rPr>
            </w:pPr>
            <w:r>
              <w:rPr>
                <w:sz w:val="22"/>
              </w:rPr>
              <w:t>248,300</w:t>
            </w:r>
          </w:p>
        </w:tc>
        <w:tc>
          <w:tcPr>
            <w:tcW w:w="1200" w:type="dxa"/>
          </w:tcPr>
          <w:p w:rsidR="00E55489" w:rsidRPr="00352FE2" w:rsidRDefault="007C2023" w:rsidP="00E16A56">
            <w:pPr>
              <w:spacing w:line="300" w:lineRule="auto"/>
              <w:jc w:val="right"/>
              <w:rPr>
                <w:i/>
                <w:sz w:val="22"/>
              </w:rPr>
            </w:pPr>
            <w:r>
              <w:rPr>
                <w:i/>
                <w:sz w:val="22"/>
              </w:rPr>
              <w:t>120.53%</w:t>
            </w:r>
          </w:p>
        </w:tc>
      </w:tr>
      <w:tr w:rsidR="00E55489" w:rsidRPr="00352FE2" w:rsidTr="00407AD6">
        <w:trPr>
          <w:trHeight w:val="243"/>
        </w:trPr>
        <w:tc>
          <w:tcPr>
            <w:tcW w:w="2700" w:type="dxa"/>
          </w:tcPr>
          <w:p w:rsidR="00E55489" w:rsidRDefault="00E55489" w:rsidP="00E16A56">
            <w:pPr>
              <w:spacing w:line="300" w:lineRule="auto"/>
              <w:rPr>
                <w:sz w:val="22"/>
              </w:rPr>
            </w:pPr>
            <w:r>
              <w:rPr>
                <w:sz w:val="22"/>
              </w:rPr>
              <w:t>Average weekly earnings</w:t>
            </w:r>
          </w:p>
        </w:tc>
        <w:tc>
          <w:tcPr>
            <w:tcW w:w="1586" w:type="dxa"/>
          </w:tcPr>
          <w:p w:rsidR="00E55489" w:rsidRDefault="00E55489" w:rsidP="00E16A56">
            <w:pPr>
              <w:spacing w:line="300" w:lineRule="auto"/>
              <w:jc w:val="right"/>
              <w:rPr>
                <w:sz w:val="22"/>
              </w:rPr>
            </w:pPr>
            <w:r>
              <w:rPr>
                <w:sz w:val="22"/>
              </w:rPr>
              <w:t>711.18</w:t>
            </w:r>
          </w:p>
        </w:tc>
        <w:tc>
          <w:tcPr>
            <w:tcW w:w="1195" w:type="dxa"/>
          </w:tcPr>
          <w:p w:rsidR="00E55489" w:rsidRDefault="00E55489" w:rsidP="00E16A56">
            <w:pPr>
              <w:spacing w:line="300" w:lineRule="auto"/>
              <w:jc w:val="right"/>
              <w:rPr>
                <w:sz w:val="22"/>
              </w:rPr>
            </w:pPr>
            <w:r>
              <w:rPr>
                <w:sz w:val="22"/>
              </w:rPr>
              <w:t>717.64</w:t>
            </w:r>
          </w:p>
        </w:tc>
        <w:tc>
          <w:tcPr>
            <w:tcW w:w="1251" w:type="dxa"/>
          </w:tcPr>
          <w:p w:rsidR="00E55489" w:rsidRDefault="00E55489" w:rsidP="00E16A56">
            <w:pPr>
              <w:spacing w:line="300" w:lineRule="auto"/>
              <w:jc w:val="right"/>
              <w:rPr>
                <w:sz w:val="22"/>
              </w:rPr>
            </w:pPr>
            <w:r>
              <w:rPr>
                <w:sz w:val="22"/>
              </w:rPr>
              <w:t>667.76</w:t>
            </w:r>
          </w:p>
        </w:tc>
        <w:tc>
          <w:tcPr>
            <w:tcW w:w="1269" w:type="dxa"/>
          </w:tcPr>
          <w:p w:rsidR="00E55489" w:rsidRDefault="00E55489" w:rsidP="00E16A56">
            <w:pPr>
              <w:spacing w:line="300" w:lineRule="auto"/>
              <w:jc w:val="right"/>
              <w:rPr>
                <w:sz w:val="22"/>
              </w:rPr>
            </w:pPr>
            <w:r>
              <w:rPr>
                <w:sz w:val="22"/>
              </w:rPr>
              <w:t>690.23</w:t>
            </w:r>
          </w:p>
        </w:tc>
        <w:tc>
          <w:tcPr>
            <w:tcW w:w="1195" w:type="dxa"/>
          </w:tcPr>
          <w:p w:rsidR="00E55489" w:rsidRDefault="007C2023" w:rsidP="00E16A56">
            <w:pPr>
              <w:spacing w:line="300" w:lineRule="auto"/>
              <w:jc w:val="right"/>
              <w:rPr>
                <w:sz w:val="22"/>
              </w:rPr>
            </w:pPr>
            <w:r>
              <w:rPr>
                <w:sz w:val="22"/>
              </w:rPr>
              <w:t>729.20</w:t>
            </w:r>
          </w:p>
        </w:tc>
        <w:tc>
          <w:tcPr>
            <w:tcW w:w="1200" w:type="dxa"/>
          </w:tcPr>
          <w:p w:rsidR="00E55489" w:rsidRPr="00352FE2" w:rsidRDefault="007C2023" w:rsidP="00E16A56">
            <w:pPr>
              <w:spacing w:line="300" w:lineRule="auto"/>
              <w:jc w:val="right"/>
              <w:rPr>
                <w:i/>
                <w:sz w:val="22"/>
              </w:rPr>
            </w:pPr>
            <w:r>
              <w:rPr>
                <w:i/>
                <w:sz w:val="22"/>
              </w:rPr>
              <w:t>102.53%</w:t>
            </w:r>
          </w:p>
        </w:tc>
      </w:tr>
      <w:tr w:rsidR="00E55489" w:rsidRPr="00352FE2" w:rsidTr="00407AD6">
        <w:trPr>
          <w:trHeight w:val="243"/>
        </w:trPr>
        <w:tc>
          <w:tcPr>
            <w:tcW w:w="2700" w:type="dxa"/>
          </w:tcPr>
          <w:p w:rsidR="00E55489" w:rsidRDefault="00E55489" w:rsidP="00E16A56">
            <w:pPr>
              <w:spacing w:line="300" w:lineRule="auto"/>
              <w:rPr>
                <w:sz w:val="22"/>
              </w:rPr>
            </w:pPr>
            <w:r>
              <w:rPr>
                <w:sz w:val="22"/>
              </w:rPr>
              <w:t>Average hourly earnings</w:t>
            </w:r>
          </w:p>
        </w:tc>
        <w:tc>
          <w:tcPr>
            <w:tcW w:w="1586" w:type="dxa"/>
          </w:tcPr>
          <w:p w:rsidR="00E55489" w:rsidRDefault="00E55489" w:rsidP="00E16A56">
            <w:pPr>
              <w:spacing w:line="300" w:lineRule="auto"/>
              <w:jc w:val="right"/>
              <w:rPr>
                <w:sz w:val="22"/>
              </w:rPr>
            </w:pPr>
            <w:r>
              <w:rPr>
                <w:sz w:val="22"/>
              </w:rPr>
              <w:t>23.10</w:t>
            </w:r>
          </w:p>
        </w:tc>
        <w:tc>
          <w:tcPr>
            <w:tcW w:w="1195" w:type="dxa"/>
          </w:tcPr>
          <w:p w:rsidR="00E55489" w:rsidRDefault="00E55489" w:rsidP="00E16A56">
            <w:pPr>
              <w:spacing w:line="300" w:lineRule="auto"/>
              <w:jc w:val="right"/>
              <w:rPr>
                <w:sz w:val="22"/>
              </w:rPr>
            </w:pPr>
            <w:r>
              <w:rPr>
                <w:sz w:val="22"/>
              </w:rPr>
              <w:t>23.56</w:t>
            </w:r>
          </w:p>
        </w:tc>
        <w:tc>
          <w:tcPr>
            <w:tcW w:w="1251" w:type="dxa"/>
          </w:tcPr>
          <w:p w:rsidR="00E55489" w:rsidRDefault="00E55489" w:rsidP="00E16A56">
            <w:pPr>
              <w:spacing w:line="300" w:lineRule="auto"/>
              <w:jc w:val="right"/>
              <w:rPr>
                <w:sz w:val="22"/>
              </w:rPr>
            </w:pPr>
            <w:r>
              <w:rPr>
                <w:sz w:val="22"/>
              </w:rPr>
              <w:t>22.35</w:t>
            </w:r>
          </w:p>
        </w:tc>
        <w:tc>
          <w:tcPr>
            <w:tcW w:w="1269" w:type="dxa"/>
          </w:tcPr>
          <w:p w:rsidR="00E55489" w:rsidRDefault="00E55489" w:rsidP="00E16A56">
            <w:pPr>
              <w:spacing w:line="300" w:lineRule="auto"/>
              <w:jc w:val="right"/>
              <w:rPr>
                <w:sz w:val="22"/>
              </w:rPr>
            </w:pPr>
            <w:r>
              <w:rPr>
                <w:sz w:val="22"/>
              </w:rPr>
              <w:t>22.29</w:t>
            </w:r>
          </w:p>
        </w:tc>
        <w:tc>
          <w:tcPr>
            <w:tcW w:w="1195" w:type="dxa"/>
          </w:tcPr>
          <w:p w:rsidR="00E55489" w:rsidRDefault="007C2023" w:rsidP="00E16A56">
            <w:pPr>
              <w:spacing w:line="300" w:lineRule="auto"/>
              <w:jc w:val="right"/>
              <w:rPr>
                <w:sz w:val="22"/>
              </w:rPr>
            </w:pPr>
            <w:r>
              <w:rPr>
                <w:sz w:val="22"/>
              </w:rPr>
              <w:t>23.13</w:t>
            </w:r>
          </w:p>
        </w:tc>
        <w:tc>
          <w:tcPr>
            <w:tcW w:w="1200" w:type="dxa"/>
          </w:tcPr>
          <w:p w:rsidR="00E55489" w:rsidRPr="00352FE2" w:rsidRDefault="007C2023" w:rsidP="00E16A56">
            <w:pPr>
              <w:spacing w:line="300" w:lineRule="auto"/>
              <w:jc w:val="right"/>
              <w:rPr>
                <w:i/>
                <w:sz w:val="22"/>
              </w:rPr>
            </w:pPr>
            <w:r>
              <w:rPr>
                <w:i/>
                <w:sz w:val="22"/>
              </w:rPr>
              <w:t>100.13%</w:t>
            </w:r>
          </w:p>
        </w:tc>
      </w:tr>
    </w:tbl>
    <w:p w:rsidR="00E6581A" w:rsidRDefault="00E6581A" w:rsidP="009B3A16">
      <w:pPr>
        <w:spacing w:line="300" w:lineRule="auto"/>
        <w:rPr>
          <w:sz w:val="22"/>
        </w:rPr>
      </w:pPr>
    </w:p>
    <w:p w:rsidR="00B5409D" w:rsidRDefault="00E55489" w:rsidP="00B5409D">
      <w:pPr>
        <w:spacing w:line="300" w:lineRule="auto"/>
        <w:ind w:right="-604"/>
        <w:jc w:val="right"/>
        <w:rPr>
          <w:sz w:val="22"/>
        </w:rPr>
      </w:pPr>
      <w:r>
        <w:rPr>
          <w:sz w:val="22"/>
        </w:rPr>
        <w:t xml:space="preserve">*the figures in italics in the final column are the 2018 Q3 figures expressed as a </w:t>
      </w:r>
      <w:r w:rsidR="00352FE2">
        <w:rPr>
          <w:sz w:val="22"/>
        </w:rPr>
        <w:t>percentage of the 2008 Q1 ones.</w:t>
      </w:r>
      <w:r w:rsidR="00B5409D" w:rsidRPr="00B5409D">
        <w:rPr>
          <w:sz w:val="22"/>
        </w:rPr>
        <w:t xml:space="preserve"> </w:t>
      </w:r>
      <w:r w:rsidR="00B5409D">
        <w:rPr>
          <w:sz w:val="22"/>
        </w:rPr>
        <w:t>Source: CSO</w:t>
      </w:r>
    </w:p>
    <w:p w:rsidR="003B443C" w:rsidRDefault="00B84705" w:rsidP="00827762">
      <w:pPr>
        <w:rPr>
          <w:rFonts w:cs="Arial"/>
        </w:rPr>
      </w:pPr>
      <w:r w:rsidRPr="00827762">
        <w:rPr>
          <w:rFonts w:cs="Arial"/>
        </w:rPr>
        <w:lastRenderedPageBreak/>
        <w:t>Like all workers</w:t>
      </w:r>
      <w:r w:rsidR="00BB2668" w:rsidRPr="00827762">
        <w:rPr>
          <w:rFonts w:cs="Arial"/>
        </w:rPr>
        <w:t>,</w:t>
      </w:r>
      <w:r w:rsidRPr="00827762">
        <w:rPr>
          <w:rFonts w:cs="Arial"/>
        </w:rPr>
        <w:t xml:space="preserve"> public servants deeply resent the </w:t>
      </w:r>
      <w:r w:rsidR="00BB2668" w:rsidRPr="00827762">
        <w:rPr>
          <w:rFonts w:cs="Arial"/>
        </w:rPr>
        <w:t xml:space="preserve">suggestion </w:t>
      </w:r>
      <w:r w:rsidRPr="00827762">
        <w:rPr>
          <w:rFonts w:cs="Arial"/>
        </w:rPr>
        <w:t>that they were responsible for the crisis. I am indebted to my colleague Michael Taft of SIPTU who</w:t>
      </w:r>
      <w:r w:rsidR="00BB2668" w:rsidRPr="00827762">
        <w:rPr>
          <w:rFonts w:cs="Arial"/>
        </w:rPr>
        <w:t>,</w:t>
      </w:r>
      <w:r w:rsidRPr="00827762">
        <w:rPr>
          <w:rFonts w:cs="Arial"/>
        </w:rPr>
        <w:t xml:space="preserve"> in </w:t>
      </w:r>
      <w:r w:rsidR="00BB2668" w:rsidRPr="00827762">
        <w:rPr>
          <w:rFonts w:cs="Arial"/>
        </w:rPr>
        <w:t xml:space="preserve">a </w:t>
      </w:r>
      <w:r w:rsidRPr="00827762">
        <w:rPr>
          <w:rFonts w:cs="Arial"/>
        </w:rPr>
        <w:t xml:space="preserve">blog </w:t>
      </w:r>
      <w:r w:rsidR="00BB2668" w:rsidRPr="00827762">
        <w:rPr>
          <w:rFonts w:cs="Arial"/>
        </w:rPr>
        <w:t xml:space="preserve">last month, reminded us that the crash came about because </w:t>
      </w:r>
      <w:r w:rsidRPr="00827762">
        <w:rPr>
          <w:rFonts w:cs="Arial"/>
        </w:rPr>
        <w:t>“exchequer finances were exposed by banks recklessly over-extending themselves, exploiting a speculative property sector</w:t>
      </w:r>
      <w:r w:rsidR="00BB2668" w:rsidRPr="00827762">
        <w:rPr>
          <w:rFonts w:cs="Arial"/>
        </w:rPr>
        <w:t>,</w:t>
      </w:r>
      <w:r w:rsidRPr="00827762">
        <w:rPr>
          <w:rFonts w:cs="Arial"/>
        </w:rPr>
        <w:t xml:space="preserve">” </w:t>
      </w:r>
      <w:r w:rsidR="00BB2668" w:rsidRPr="00827762">
        <w:rPr>
          <w:rFonts w:cs="Arial"/>
        </w:rPr>
        <w:t xml:space="preserve">and </w:t>
      </w:r>
      <w:r w:rsidRPr="00827762">
        <w:rPr>
          <w:rFonts w:cs="Arial"/>
        </w:rPr>
        <w:t xml:space="preserve">that </w:t>
      </w:r>
      <w:r w:rsidR="00BB2668" w:rsidRPr="00827762">
        <w:rPr>
          <w:rFonts w:cs="Arial"/>
        </w:rPr>
        <w:t xml:space="preserve">this </w:t>
      </w:r>
      <w:r w:rsidRPr="00827762">
        <w:rPr>
          <w:rFonts w:cs="Arial"/>
        </w:rPr>
        <w:t xml:space="preserve">led to a collapse in construction employment compounded by </w:t>
      </w:r>
      <w:r w:rsidR="00BB2668" w:rsidRPr="00827762">
        <w:rPr>
          <w:rFonts w:cs="Arial"/>
        </w:rPr>
        <w:t xml:space="preserve">a </w:t>
      </w:r>
      <w:r w:rsidRPr="00827762">
        <w:rPr>
          <w:rFonts w:cs="Arial"/>
        </w:rPr>
        <w:t>fiscal policy that had “tied tax revenue to property-related tax receipts while cutting every possible tax (corporation</w:t>
      </w:r>
      <w:r w:rsidR="0047407A" w:rsidRPr="00827762">
        <w:rPr>
          <w:rFonts w:cs="Arial"/>
        </w:rPr>
        <w:t>,</w:t>
      </w:r>
      <w:r w:rsidRPr="00827762">
        <w:rPr>
          <w:rFonts w:cs="Arial"/>
        </w:rPr>
        <w:t xml:space="preserve"> inheritance and capital gains, income, stamp duties</w:t>
      </w:r>
      <w:r w:rsidR="00DB640A" w:rsidRPr="00827762">
        <w:rPr>
          <w:rFonts w:cs="Arial"/>
        </w:rPr>
        <w:t>,</w:t>
      </w:r>
      <w:r w:rsidRPr="00827762">
        <w:rPr>
          <w:rFonts w:cs="Arial"/>
        </w:rPr>
        <w:t xml:space="preserve"> etc)</w:t>
      </w:r>
      <w:r w:rsidR="00DB640A" w:rsidRPr="00827762">
        <w:rPr>
          <w:rFonts w:cs="Arial"/>
        </w:rPr>
        <w:t>.</w:t>
      </w:r>
      <w:r w:rsidRPr="00827762">
        <w:rPr>
          <w:rFonts w:cs="Arial"/>
        </w:rPr>
        <w:t>”</w:t>
      </w:r>
      <w:r w:rsidR="00DB640A" w:rsidRPr="00827762">
        <w:rPr>
          <w:rFonts w:cs="Arial"/>
        </w:rPr>
        <w:t xml:space="preserve"> Taft also notes that </w:t>
      </w:r>
      <w:r w:rsidR="003A65A8" w:rsidRPr="00827762">
        <w:rPr>
          <w:rFonts w:cs="Arial"/>
        </w:rPr>
        <w:t>public employee</w:t>
      </w:r>
      <w:r w:rsidR="003B443C" w:rsidRPr="00827762">
        <w:rPr>
          <w:rFonts w:cs="Arial"/>
        </w:rPr>
        <w:t xml:space="preserve"> compensation fell from 13.5% of GNI* in 2008 to 11.2% in 2018.</w:t>
      </w:r>
    </w:p>
    <w:p w:rsidR="00F525C7" w:rsidRPr="00827762" w:rsidRDefault="00F525C7" w:rsidP="00827762">
      <w:pPr>
        <w:rPr>
          <w:rFonts w:cs="Arial"/>
        </w:rPr>
      </w:pPr>
    </w:p>
    <w:p w:rsidR="00F525C7" w:rsidRDefault="007D79C2" w:rsidP="00827762">
      <w:pPr>
        <w:rPr>
          <w:rFonts w:cs="Arial"/>
        </w:rPr>
      </w:pPr>
      <w:r w:rsidRPr="00827762">
        <w:rPr>
          <w:rFonts w:cs="Arial"/>
        </w:rPr>
        <w:t xml:space="preserve">But it is time to move beyond the language of crisis – even the language of restoration – which, despite the sound economic and fiscal </w:t>
      </w:r>
      <w:r w:rsidR="00F525C7">
        <w:rPr>
          <w:rFonts w:cs="Arial"/>
        </w:rPr>
        <w:t>indicators I have referenced</w:t>
      </w:r>
      <w:r w:rsidRPr="00827762">
        <w:rPr>
          <w:rFonts w:cs="Arial"/>
        </w:rPr>
        <w:t>, remain a strong element in the lexicon of publi</w:t>
      </w:r>
      <w:r w:rsidR="00F525C7">
        <w:rPr>
          <w:rFonts w:cs="Arial"/>
        </w:rPr>
        <w:t>c service industrial relations.</w:t>
      </w:r>
    </w:p>
    <w:p w:rsidR="00F525C7" w:rsidRDefault="00F525C7" w:rsidP="00827762">
      <w:pPr>
        <w:rPr>
          <w:rFonts w:cs="Arial"/>
        </w:rPr>
      </w:pPr>
    </w:p>
    <w:p w:rsidR="007D79C2" w:rsidRPr="00827762" w:rsidRDefault="007D79C2" w:rsidP="00827762">
      <w:pPr>
        <w:rPr>
          <w:rFonts w:cs="Arial"/>
        </w:rPr>
      </w:pPr>
      <w:r w:rsidRPr="00827762">
        <w:rPr>
          <w:rFonts w:cs="Arial"/>
        </w:rPr>
        <w:t xml:space="preserve">The Public Service Pay and Pensions Act, which gave legal force to the PSSA, is designed to deliver pay restoration, increases in pension payments, the repeal of the 2009 FEMPI Act, and other improvements. Yet its preamble is couched in the language of crisis, economic vulnerability, debt, uncertainty, and </w:t>
      </w:r>
      <w:r w:rsidRPr="00827762">
        <w:rPr>
          <w:rFonts w:cs="Arial"/>
          <w:u w:val="single"/>
        </w:rPr>
        <w:t>reductions</w:t>
      </w:r>
      <w:r w:rsidRPr="00827762">
        <w:rPr>
          <w:rFonts w:cs="Arial"/>
        </w:rPr>
        <w:t xml:space="preserve"> in pay and pensions.</w:t>
      </w:r>
    </w:p>
    <w:p w:rsidR="007D79C2" w:rsidRPr="00827762" w:rsidRDefault="007D79C2" w:rsidP="00827762">
      <w:pPr>
        <w:jc w:val="center"/>
        <w:rPr>
          <w:rFonts w:cs="Arial"/>
        </w:rPr>
      </w:pPr>
    </w:p>
    <w:p w:rsidR="007D79C2" w:rsidRPr="00827762" w:rsidRDefault="007D79C2" w:rsidP="00827762">
      <w:pPr>
        <w:rPr>
          <w:rFonts w:cs="Arial"/>
        </w:rPr>
      </w:pPr>
      <w:r w:rsidRPr="00827762">
        <w:rPr>
          <w:rFonts w:cs="Arial"/>
        </w:rPr>
        <w:t>It’s time to move on from this emergency precept. Notwithstanding the challenges that Brexit presents, the continued use of this language - more than ten years since the onset of the crisis, and in a time of impressive growth and tumbling unemployment – further stretches the credibility of the PSSA.</w:t>
      </w:r>
    </w:p>
    <w:p w:rsidR="008C61E4" w:rsidRPr="00827762" w:rsidRDefault="008C61E4" w:rsidP="00827762">
      <w:pPr>
        <w:rPr>
          <w:rFonts w:cs="Arial"/>
        </w:rPr>
      </w:pPr>
    </w:p>
    <w:p w:rsidR="00DB640A" w:rsidRPr="00827762" w:rsidRDefault="007D79C2" w:rsidP="00827762">
      <w:pPr>
        <w:rPr>
          <w:rFonts w:cs="Arial"/>
        </w:rPr>
      </w:pPr>
      <w:r w:rsidRPr="00827762">
        <w:rPr>
          <w:rFonts w:cs="Arial"/>
        </w:rPr>
        <w:t>There are lessons to be learned from yesterday, but it is time to</w:t>
      </w:r>
      <w:r w:rsidR="00F525C7">
        <w:rPr>
          <w:rFonts w:cs="Arial"/>
        </w:rPr>
        <w:t xml:space="preserve"> shift our focus from the past and </w:t>
      </w:r>
      <w:r w:rsidRPr="00827762">
        <w:rPr>
          <w:rFonts w:cs="Arial"/>
        </w:rPr>
        <w:t>focus on the challenge of delivering real improvements in wages and purchasing power.</w:t>
      </w:r>
      <w:r w:rsidR="00B47916">
        <w:rPr>
          <w:rFonts w:cs="Arial"/>
        </w:rPr>
        <w:t xml:space="preserve"> By way of comparison, German public service employers and union have just agreed a three-year pay deal that comfortably outstrips inflation.</w:t>
      </w:r>
    </w:p>
    <w:p w:rsidR="00B92724" w:rsidRPr="00827762" w:rsidRDefault="00B92724" w:rsidP="00827762">
      <w:pPr>
        <w:rPr>
          <w:rFonts w:cs="Arial"/>
        </w:rPr>
      </w:pPr>
    </w:p>
    <w:p w:rsidR="007D79C2" w:rsidRPr="00827762" w:rsidRDefault="00B47916" w:rsidP="00827762">
      <w:pPr>
        <w:rPr>
          <w:rFonts w:cs="Arial"/>
        </w:rPr>
      </w:pPr>
      <w:r>
        <w:rPr>
          <w:rFonts w:cs="Arial"/>
        </w:rPr>
        <w:t>Furthermore</w:t>
      </w:r>
      <w:r w:rsidR="007D79C2" w:rsidRPr="00827762">
        <w:rPr>
          <w:rFonts w:cs="Arial"/>
        </w:rPr>
        <w:t>, i</w:t>
      </w:r>
      <w:r w:rsidR="00B92724" w:rsidRPr="00827762">
        <w:rPr>
          <w:rFonts w:cs="Arial"/>
        </w:rPr>
        <w:t>t is simply no</w:t>
      </w:r>
      <w:r>
        <w:rPr>
          <w:rFonts w:cs="Arial"/>
        </w:rPr>
        <w:t xml:space="preserve"> longer </w:t>
      </w:r>
      <w:r w:rsidR="00B92724" w:rsidRPr="00827762">
        <w:rPr>
          <w:rFonts w:cs="Arial"/>
        </w:rPr>
        <w:t xml:space="preserve">possible to </w:t>
      </w:r>
      <w:r w:rsidR="007D79C2" w:rsidRPr="00827762">
        <w:rPr>
          <w:rFonts w:cs="Arial"/>
        </w:rPr>
        <w:t xml:space="preserve">refuse </w:t>
      </w:r>
      <w:r w:rsidR="00B92724" w:rsidRPr="00827762">
        <w:rPr>
          <w:rFonts w:cs="Arial"/>
        </w:rPr>
        <w:t xml:space="preserve">workers </w:t>
      </w:r>
      <w:r w:rsidR="007D79C2" w:rsidRPr="00827762">
        <w:rPr>
          <w:rFonts w:cs="Arial"/>
        </w:rPr>
        <w:t xml:space="preserve">the </w:t>
      </w:r>
      <w:r w:rsidR="00B92724" w:rsidRPr="00827762">
        <w:rPr>
          <w:rFonts w:cs="Arial"/>
        </w:rPr>
        <w:t xml:space="preserve">periodic opportunity to </w:t>
      </w:r>
      <w:r w:rsidR="007D79C2" w:rsidRPr="00827762">
        <w:rPr>
          <w:rFonts w:cs="Arial"/>
        </w:rPr>
        <w:t xml:space="preserve">make </w:t>
      </w:r>
      <w:r w:rsidR="00B92724" w:rsidRPr="00827762">
        <w:rPr>
          <w:rFonts w:cs="Arial"/>
        </w:rPr>
        <w:t xml:space="preserve">the case </w:t>
      </w:r>
      <w:r w:rsidR="007D79C2" w:rsidRPr="00827762">
        <w:rPr>
          <w:rFonts w:cs="Arial"/>
        </w:rPr>
        <w:t xml:space="preserve">for </w:t>
      </w:r>
      <w:r w:rsidR="00B92724" w:rsidRPr="00827762">
        <w:rPr>
          <w:rFonts w:cs="Arial"/>
        </w:rPr>
        <w:t>their own grade or profession</w:t>
      </w:r>
      <w:r w:rsidR="00F525C7">
        <w:rPr>
          <w:rFonts w:cs="Arial"/>
        </w:rPr>
        <w:t>;</w:t>
      </w:r>
      <w:r w:rsidR="007D79C2" w:rsidRPr="00827762">
        <w:rPr>
          <w:rFonts w:cs="Arial"/>
        </w:rPr>
        <w:t xml:space="preserve"> to robustly – and fairly – test the validity of their argument</w:t>
      </w:r>
      <w:r w:rsidR="00F525C7">
        <w:rPr>
          <w:rFonts w:cs="Arial"/>
        </w:rPr>
        <w:t>s</w:t>
      </w:r>
      <w:r w:rsidR="007D79C2" w:rsidRPr="00827762">
        <w:rPr>
          <w:rFonts w:cs="Arial"/>
        </w:rPr>
        <w:t xml:space="preserve">, be they based on </w:t>
      </w:r>
      <w:r w:rsidR="00B92724" w:rsidRPr="00827762">
        <w:rPr>
          <w:rFonts w:cs="Arial"/>
        </w:rPr>
        <w:t>increased productivity, changes in relati</w:t>
      </w:r>
      <w:r w:rsidR="007D79C2" w:rsidRPr="00827762">
        <w:rPr>
          <w:rFonts w:cs="Arial"/>
        </w:rPr>
        <w:t>vities, enhanced qualifications, additional skills, or added responsibilities.</w:t>
      </w:r>
    </w:p>
    <w:p w:rsidR="007D79C2" w:rsidRPr="00827762" w:rsidRDefault="007D79C2" w:rsidP="00827762">
      <w:pPr>
        <w:rPr>
          <w:rFonts w:cs="Arial"/>
        </w:rPr>
      </w:pPr>
    </w:p>
    <w:p w:rsidR="007D79C2" w:rsidRPr="00827762" w:rsidRDefault="007D79C2" w:rsidP="00827762">
      <w:pPr>
        <w:rPr>
          <w:rFonts w:cs="Arial"/>
        </w:rPr>
      </w:pPr>
      <w:r w:rsidRPr="00827762">
        <w:rPr>
          <w:rFonts w:cs="Arial"/>
        </w:rPr>
        <w:t>It’s now almost</w:t>
      </w:r>
      <w:r w:rsidR="00B92724" w:rsidRPr="00827762">
        <w:rPr>
          <w:rFonts w:cs="Arial"/>
        </w:rPr>
        <w:t xml:space="preserve"> 20 years since public service workers had that opportunity </w:t>
      </w:r>
      <w:r w:rsidRPr="00827762">
        <w:rPr>
          <w:rFonts w:cs="Arial"/>
        </w:rPr>
        <w:t xml:space="preserve">– 20 years that have seen </w:t>
      </w:r>
      <w:r w:rsidR="00B92724" w:rsidRPr="00827762">
        <w:rPr>
          <w:rFonts w:cs="Arial"/>
        </w:rPr>
        <w:t>enormous change</w:t>
      </w:r>
      <w:r w:rsidRPr="00827762">
        <w:rPr>
          <w:rFonts w:cs="Arial"/>
        </w:rPr>
        <w:t>s in roles, responsibilities and working practices.</w:t>
      </w:r>
    </w:p>
    <w:p w:rsidR="007D79C2" w:rsidRPr="00827762" w:rsidRDefault="007D79C2" w:rsidP="00827762">
      <w:pPr>
        <w:rPr>
          <w:rFonts w:cs="Arial"/>
        </w:rPr>
      </w:pPr>
    </w:p>
    <w:p w:rsidR="007D79C2" w:rsidRPr="00827762" w:rsidRDefault="00B92724" w:rsidP="00827762">
      <w:pPr>
        <w:rPr>
          <w:rFonts w:cs="Arial"/>
        </w:rPr>
      </w:pPr>
      <w:r w:rsidRPr="00827762">
        <w:rPr>
          <w:rFonts w:cs="Arial"/>
        </w:rPr>
        <w:t xml:space="preserve">The </w:t>
      </w:r>
      <w:r w:rsidR="00C633DC" w:rsidRPr="00827762">
        <w:rPr>
          <w:rFonts w:cs="Arial"/>
        </w:rPr>
        <w:t xml:space="preserve">Labour Court has </w:t>
      </w:r>
      <w:r w:rsidR="007D79C2" w:rsidRPr="00827762">
        <w:rPr>
          <w:rFonts w:cs="Arial"/>
        </w:rPr>
        <w:t xml:space="preserve">now </w:t>
      </w:r>
      <w:r w:rsidR="00C633DC" w:rsidRPr="00827762">
        <w:rPr>
          <w:rFonts w:cs="Arial"/>
        </w:rPr>
        <w:t>recognised this</w:t>
      </w:r>
      <w:r w:rsidR="007D79C2" w:rsidRPr="00827762">
        <w:rPr>
          <w:rFonts w:cs="Arial"/>
        </w:rPr>
        <w:t xml:space="preserve"> in the case of nursing, </w:t>
      </w:r>
      <w:r w:rsidRPr="00827762">
        <w:rPr>
          <w:rFonts w:cs="Arial"/>
        </w:rPr>
        <w:t xml:space="preserve">and has </w:t>
      </w:r>
      <w:r w:rsidR="007D79C2" w:rsidRPr="00827762">
        <w:rPr>
          <w:rFonts w:cs="Arial"/>
        </w:rPr>
        <w:t xml:space="preserve">recommended a review of the profession, which it linked </w:t>
      </w:r>
      <w:r w:rsidRPr="00827762">
        <w:rPr>
          <w:rFonts w:cs="Arial"/>
        </w:rPr>
        <w:t xml:space="preserve">to the wider public service review previously recommended by the Public Service Pay Commission. </w:t>
      </w:r>
      <w:r w:rsidR="007D79C2" w:rsidRPr="00827762">
        <w:rPr>
          <w:rFonts w:cs="Arial"/>
        </w:rPr>
        <w:t>O</w:t>
      </w:r>
      <w:r w:rsidRPr="00827762">
        <w:rPr>
          <w:rFonts w:cs="Arial"/>
        </w:rPr>
        <w:t xml:space="preserve">ther grades </w:t>
      </w:r>
      <w:r w:rsidR="007D79C2" w:rsidRPr="00827762">
        <w:rPr>
          <w:rFonts w:cs="Arial"/>
        </w:rPr>
        <w:t xml:space="preserve">and </w:t>
      </w:r>
      <w:r w:rsidRPr="00827762">
        <w:rPr>
          <w:rFonts w:cs="Arial"/>
        </w:rPr>
        <w:t xml:space="preserve">professions who </w:t>
      </w:r>
      <w:r w:rsidR="007D79C2" w:rsidRPr="00827762">
        <w:rPr>
          <w:rFonts w:cs="Arial"/>
        </w:rPr>
        <w:t xml:space="preserve">aspire </w:t>
      </w:r>
      <w:r w:rsidR="00917C6F" w:rsidRPr="00827762">
        <w:rPr>
          <w:rFonts w:cs="Arial"/>
        </w:rPr>
        <w:t xml:space="preserve">to participate in </w:t>
      </w:r>
      <w:r w:rsidRPr="00827762">
        <w:rPr>
          <w:rFonts w:cs="Arial"/>
        </w:rPr>
        <w:t>such an exercise will expect similar t</w:t>
      </w:r>
      <w:r w:rsidR="007D79C2" w:rsidRPr="00827762">
        <w:rPr>
          <w:rFonts w:cs="Arial"/>
        </w:rPr>
        <w:t>reatment in the same timeframe.</w:t>
      </w:r>
    </w:p>
    <w:p w:rsidR="007D79C2" w:rsidRPr="00827762" w:rsidRDefault="007D79C2" w:rsidP="00827762">
      <w:pPr>
        <w:rPr>
          <w:rFonts w:cs="Arial"/>
        </w:rPr>
      </w:pPr>
    </w:p>
    <w:p w:rsidR="00B5409D" w:rsidRDefault="00B5409D">
      <w:pPr>
        <w:rPr>
          <w:rFonts w:cs="Arial"/>
        </w:rPr>
      </w:pPr>
      <w:r>
        <w:rPr>
          <w:rFonts w:cs="Arial"/>
        </w:rPr>
        <w:br w:type="page"/>
      </w:r>
    </w:p>
    <w:p w:rsidR="004103F2" w:rsidRPr="00827762" w:rsidRDefault="007D79C2" w:rsidP="00827762">
      <w:pPr>
        <w:rPr>
          <w:rFonts w:cs="Arial"/>
        </w:rPr>
      </w:pPr>
      <w:r w:rsidRPr="00827762">
        <w:rPr>
          <w:rFonts w:cs="Arial"/>
        </w:rPr>
        <w:lastRenderedPageBreak/>
        <w:t xml:space="preserve">This would go a long way in </w:t>
      </w:r>
      <w:r w:rsidR="00B92724" w:rsidRPr="00827762">
        <w:rPr>
          <w:rFonts w:cs="Arial"/>
        </w:rPr>
        <w:t>restoring confidence in the PSSA</w:t>
      </w:r>
      <w:r w:rsidR="004103F2" w:rsidRPr="00827762">
        <w:rPr>
          <w:rFonts w:cs="Arial"/>
        </w:rPr>
        <w:t xml:space="preserve">, whose underlying assumptions also need to be reviewed to </w:t>
      </w:r>
      <w:r w:rsidR="00B92724" w:rsidRPr="00827762">
        <w:rPr>
          <w:rFonts w:cs="Arial"/>
        </w:rPr>
        <w:t>take account of</w:t>
      </w:r>
      <w:r w:rsidR="008A15DC" w:rsidRPr="00827762">
        <w:rPr>
          <w:rFonts w:cs="Arial"/>
        </w:rPr>
        <w:t xml:space="preserve"> inflation,</w:t>
      </w:r>
      <w:r w:rsidR="00B92724" w:rsidRPr="00827762">
        <w:rPr>
          <w:rFonts w:cs="Arial"/>
        </w:rPr>
        <w:t xml:space="preserve"> the exceptional growth of 2017 and 2018</w:t>
      </w:r>
      <w:r w:rsidR="004103F2" w:rsidRPr="00827762">
        <w:rPr>
          <w:rFonts w:cs="Arial"/>
        </w:rPr>
        <w:t xml:space="preserve">, and pay movements </w:t>
      </w:r>
      <w:r w:rsidR="008A15DC" w:rsidRPr="00827762">
        <w:rPr>
          <w:rFonts w:cs="Arial"/>
        </w:rPr>
        <w:t>in the wider economy</w:t>
      </w:r>
      <w:r w:rsidR="00B92724" w:rsidRPr="00827762">
        <w:rPr>
          <w:rFonts w:cs="Arial"/>
        </w:rPr>
        <w:t xml:space="preserve">. Such an approach </w:t>
      </w:r>
      <w:r w:rsidR="004103F2" w:rsidRPr="00827762">
        <w:rPr>
          <w:rFonts w:cs="Arial"/>
        </w:rPr>
        <w:t>could</w:t>
      </w:r>
      <w:r w:rsidR="00B92724" w:rsidRPr="00827762">
        <w:rPr>
          <w:rFonts w:cs="Arial"/>
        </w:rPr>
        <w:t xml:space="preserve"> frame the negotiations on a successor to the </w:t>
      </w:r>
      <w:r w:rsidR="004103F2" w:rsidRPr="00827762">
        <w:rPr>
          <w:rFonts w:cs="Arial"/>
        </w:rPr>
        <w:t>current agreement, which will have to be sufficiently flexible to pair general increases</w:t>
      </w:r>
      <w:r w:rsidR="00E81AD4">
        <w:rPr>
          <w:rFonts w:cs="Arial"/>
        </w:rPr>
        <w:t>,</w:t>
      </w:r>
      <w:r w:rsidR="004103F2" w:rsidRPr="00827762">
        <w:rPr>
          <w:rFonts w:cs="Arial"/>
        </w:rPr>
        <w:t xml:space="preserve"> designed to protect living standards</w:t>
      </w:r>
      <w:r w:rsidR="00E81AD4">
        <w:rPr>
          <w:rFonts w:cs="Arial"/>
        </w:rPr>
        <w:t>,</w:t>
      </w:r>
      <w:r w:rsidR="004103F2" w:rsidRPr="00827762">
        <w:rPr>
          <w:rFonts w:cs="Arial"/>
        </w:rPr>
        <w:t xml:space="preserve"> with progress on specific grade or profession reviews. </w:t>
      </w:r>
    </w:p>
    <w:p w:rsidR="004103F2" w:rsidRPr="00827762" w:rsidRDefault="004103F2" w:rsidP="00827762">
      <w:pPr>
        <w:rPr>
          <w:rFonts w:cs="Arial"/>
        </w:rPr>
      </w:pPr>
    </w:p>
    <w:p w:rsidR="004103F2" w:rsidRPr="00827762" w:rsidRDefault="00E81AD4" w:rsidP="00827762">
      <w:pPr>
        <w:pStyle w:val="NoSpacing"/>
        <w:rPr>
          <w:lang w:val="en-IE"/>
        </w:rPr>
      </w:pPr>
      <w:r>
        <w:t>We want to restore and maintain f</w:t>
      </w:r>
      <w:r w:rsidR="00F525C7">
        <w:t>ull</w:t>
      </w:r>
      <w:r w:rsidR="004103F2" w:rsidRPr="00827762">
        <w:t xml:space="preserve"> confidence in the PSSA</w:t>
      </w:r>
      <w:r>
        <w:t>, and our model of public service pay determination</w:t>
      </w:r>
      <w:r w:rsidR="004103F2" w:rsidRPr="00827762">
        <w:t xml:space="preserve">. </w:t>
      </w:r>
      <w:r w:rsidR="004103F2" w:rsidRPr="00827762">
        <w:rPr>
          <w:lang w:val="en-IE"/>
        </w:rPr>
        <w:t>Unions</w:t>
      </w:r>
      <w:r w:rsidR="004103F2" w:rsidRPr="00827762">
        <w:t xml:space="preserve"> have been assured that DPER will continue to engage, including on the broader implications of the recent Labour Court recommendation. This engagement must now urgently address any changes in the </w:t>
      </w:r>
      <w:r w:rsidR="004103F2" w:rsidRPr="00827762">
        <w:rPr>
          <w:lang w:val="en-IE"/>
        </w:rPr>
        <w:t xml:space="preserve">assumptions underlying the </w:t>
      </w:r>
      <w:r w:rsidR="00F525C7">
        <w:rPr>
          <w:lang w:val="en-IE"/>
        </w:rPr>
        <w:t>PSSA</w:t>
      </w:r>
      <w:r w:rsidR="004103F2" w:rsidRPr="00827762">
        <w:rPr>
          <w:lang w:val="en-IE"/>
        </w:rPr>
        <w:t>, as is allowed under clause 8.4.2 of the agreement.</w:t>
      </w:r>
    </w:p>
    <w:p w:rsidR="004103F2" w:rsidRPr="00827762" w:rsidRDefault="004103F2" w:rsidP="00827762">
      <w:pPr>
        <w:pStyle w:val="NoSpacing"/>
        <w:rPr>
          <w:lang w:val="en-IE"/>
        </w:rPr>
      </w:pPr>
    </w:p>
    <w:p w:rsidR="004103F2" w:rsidRDefault="004103F2" w:rsidP="00827762">
      <w:pPr>
        <w:pStyle w:val="NoSpacing"/>
        <w:rPr>
          <w:lang w:val="en-IE"/>
        </w:rPr>
      </w:pPr>
      <w:r w:rsidRPr="00827762">
        <w:rPr>
          <w:lang w:val="en-IE"/>
        </w:rPr>
        <w:t xml:space="preserve">The union expects these engagements to continue to take place over the coming weeks with the objective of ensuring the continued effectiveness and stability </w:t>
      </w:r>
      <w:r w:rsidR="00F525C7">
        <w:rPr>
          <w:lang w:val="en-IE"/>
        </w:rPr>
        <w:t>of the public service agreement, and to ensure that it remains ‘fit for purpose.’</w:t>
      </w:r>
    </w:p>
    <w:p w:rsidR="003250D2" w:rsidRDefault="003250D2" w:rsidP="00827762">
      <w:pPr>
        <w:pStyle w:val="NoSpacing"/>
        <w:rPr>
          <w:lang w:val="en-IE"/>
        </w:rPr>
      </w:pPr>
    </w:p>
    <w:p w:rsidR="003250D2" w:rsidRPr="00827762" w:rsidRDefault="003250D2" w:rsidP="00827762">
      <w:pPr>
        <w:pStyle w:val="NoSpacing"/>
        <w:rPr>
          <w:lang w:val="en-IE"/>
        </w:rPr>
      </w:pPr>
      <w:r>
        <w:rPr>
          <w:lang w:val="en-IE"/>
        </w:rPr>
        <w:t>ENDS</w:t>
      </w:r>
    </w:p>
    <w:p w:rsidR="004103F2" w:rsidRPr="00827762" w:rsidRDefault="004103F2" w:rsidP="00827762">
      <w:pPr>
        <w:rPr>
          <w:rFonts w:cs="Arial"/>
        </w:rPr>
      </w:pPr>
    </w:p>
    <w:p w:rsidR="004103F2" w:rsidRPr="00827762" w:rsidRDefault="004103F2" w:rsidP="00827762">
      <w:pPr>
        <w:rPr>
          <w:rFonts w:cs="Arial"/>
        </w:rPr>
      </w:pPr>
    </w:p>
    <w:p w:rsidR="004103F2" w:rsidRDefault="004103F2" w:rsidP="00827762">
      <w:pPr>
        <w:rPr>
          <w:rFonts w:cs="Arial"/>
        </w:rPr>
      </w:pPr>
    </w:p>
    <w:p w:rsidR="00FF3ABB" w:rsidRPr="00827762" w:rsidRDefault="00FF3ABB" w:rsidP="00827762">
      <w:pPr>
        <w:rPr>
          <w:rFonts w:cs="Arial"/>
        </w:rPr>
      </w:pPr>
      <w:r w:rsidRPr="00827762">
        <w:rPr>
          <w:rFonts w:cs="Arial"/>
        </w:rPr>
        <w:t>________________</w:t>
      </w:r>
    </w:p>
    <w:p w:rsidR="00FF3ABB" w:rsidRPr="00827762" w:rsidRDefault="00FF3ABB" w:rsidP="00827762">
      <w:pPr>
        <w:rPr>
          <w:rFonts w:cs="Arial"/>
        </w:rPr>
      </w:pPr>
    </w:p>
    <w:p w:rsidR="00642CC5" w:rsidRPr="00827762" w:rsidRDefault="009067DF" w:rsidP="00827762">
      <w:pPr>
        <w:rPr>
          <w:rFonts w:cs="Arial"/>
        </w:rPr>
      </w:pPr>
      <w:r w:rsidRPr="00827762">
        <w:rPr>
          <w:rFonts w:cs="Arial"/>
        </w:rPr>
        <w:t>A footnote on social dialogue, Europe and public services:</w:t>
      </w:r>
    </w:p>
    <w:p w:rsidR="009067DF" w:rsidRPr="00827762" w:rsidRDefault="009067DF" w:rsidP="00827762">
      <w:pPr>
        <w:rPr>
          <w:rFonts w:cs="Arial"/>
        </w:rPr>
      </w:pPr>
    </w:p>
    <w:p w:rsidR="003250D2" w:rsidRDefault="009067DF" w:rsidP="00827762">
      <w:pPr>
        <w:rPr>
          <w:rFonts w:cs="Arial"/>
        </w:rPr>
      </w:pPr>
      <w:r w:rsidRPr="00827762">
        <w:rPr>
          <w:rFonts w:cs="Arial"/>
        </w:rPr>
        <w:t>The absence of effective tripartism was evident in the run up to and during the nurses</w:t>
      </w:r>
      <w:r w:rsidR="00E81AD4">
        <w:rPr>
          <w:rFonts w:cs="Arial"/>
        </w:rPr>
        <w:t>’</w:t>
      </w:r>
      <w:r w:rsidRPr="00827762">
        <w:rPr>
          <w:rFonts w:cs="Arial"/>
        </w:rPr>
        <w:t xml:space="preserve"> strike. Social dialogue, if it is to be worthwhile, needs to be more than just consultative. It must be ambitious enough to tackle the big issues. When Brexit is settled people will look to why we chose to remain part of the EU. If Europe is seen to be about economic governance rules that depress your cost of living while the wealthy prosper it will soon lose popular support. A fresh vision for Social Europe is required that will</w:t>
      </w:r>
      <w:r w:rsidR="0034005B" w:rsidRPr="00827762">
        <w:rPr>
          <w:rFonts w:cs="Arial"/>
        </w:rPr>
        <w:t xml:space="preserve"> underpin genuine</w:t>
      </w:r>
      <w:r w:rsidRPr="00827762">
        <w:rPr>
          <w:rFonts w:cs="Arial"/>
        </w:rPr>
        <w:t xml:space="preserve"> social dialogue, effective collective bargaining, real measures to tackle inequali</w:t>
      </w:r>
      <w:r w:rsidR="003250D2">
        <w:rPr>
          <w:rFonts w:cs="Arial"/>
        </w:rPr>
        <w:t>ty and quality public services.</w:t>
      </w:r>
    </w:p>
    <w:p w:rsidR="003250D2" w:rsidRDefault="003250D2" w:rsidP="00827762">
      <w:pPr>
        <w:rPr>
          <w:rFonts w:cs="Arial"/>
        </w:rPr>
      </w:pPr>
    </w:p>
    <w:p w:rsidR="003250D2" w:rsidRDefault="009067DF" w:rsidP="00827762">
      <w:pPr>
        <w:rPr>
          <w:rFonts w:cs="Arial"/>
        </w:rPr>
      </w:pPr>
      <w:r w:rsidRPr="00827762">
        <w:rPr>
          <w:rFonts w:cs="Arial"/>
        </w:rPr>
        <w:t>At an Irish</w:t>
      </w:r>
      <w:r w:rsidR="006C34A9" w:rsidRPr="00827762">
        <w:rPr>
          <w:rFonts w:cs="Arial"/>
        </w:rPr>
        <w:t xml:space="preserve"> </w:t>
      </w:r>
      <w:r w:rsidRPr="00827762">
        <w:rPr>
          <w:rFonts w:cs="Arial"/>
        </w:rPr>
        <w:t>level that requires an ideological shift. Once and for all we need to address the dysfunctionality that is the inevitable consequence of our public/private health system; we need to reverse the decision to leave the early care and education of our children to the marke</w:t>
      </w:r>
      <w:r w:rsidR="0034005B" w:rsidRPr="00827762">
        <w:rPr>
          <w:rFonts w:cs="Arial"/>
        </w:rPr>
        <w:t>t</w:t>
      </w:r>
      <w:r w:rsidRPr="00827762">
        <w:rPr>
          <w:rFonts w:cs="Arial"/>
        </w:rPr>
        <w:t xml:space="preserve">; we need to ensure adequate occupational pension coverage in the private sector; we need to start building public housing again; and we need to invest strategically in higher education and further education and training. </w:t>
      </w:r>
    </w:p>
    <w:p w:rsidR="003250D2" w:rsidRDefault="003250D2" w:rsidP="00827762">
      <w:pPr>
        <w:rPr>
          <w:rFonts w:cs="Arial"/>
        </w:rPr>
      </w:pPr>
    </w:p>
    <w:p w:rsidR="0003255B" w:rsidRPr="00827762" w:rsidRDefault="009067DF" w:rsidP="00827762">
      <w:pPr>
        <w:rPr>
          <w:rFonts w:cs="Arial"/>
        </w:rPr>
      </w:pPr>
      <w:r w:rsidRPr="00827762">
        <w:rPr>
          <w:rFonts w:cs="Arial"/>
        </w:rPr>
        <w:t>Strangely enough, if we had a world class</w:t>
      </w:r>
      <w:r w:rsidR="0034005B" w:rsidRPr="00827762">
        <w:rPr>
          <w:rFonts w:cs="Arial"/>
        </w:rPr>
        <w:t>,</w:t>
      </w:r>
      <w:r w:rsidRPr="00827762">
        <w:rPr>
          <w:rFonts w:cs="Arial"/>
        </w:rPr>
        <w:t xml:space="preserve"> cutting edge health service, affordable hi</w:t>
      </w:r>
      <w:r w:rsidR="00B53E25" w:rsidRPr="00827762">
        <w:rPr>
          <w:rFonts w:cs="Arial"/>
        </w:rPr>
        <w:t>gh-quality childcare and a well-</w:t>
      </w:r>
      <w:r w:rsidRPr="00827762">
        <w:rPr>
          <w:rFonts w:cs="Arial"/>
        </w:rPr>
        <w:t>funded, innovative education system, there is every chance that we would retain a highly motivated workforce in our public service rather than training so many to seek opportunities elsewhere or to find work in different career</w:t>
      </w:r>
      <w:r w:rsidR="0034005B" w:rsidRPr="00827762">
        <w:rPr>
          <w:rFonts w:cs="Arial"/>
        </w:rPr>
        <w:t>s</w:t>
      </w:r>
      <w:r w:rsidRPr="00827762">
        <w:rPr>
          <w:rFonts w:cs="Arial"/>
        </w:rPr>
        <w:t>. That kind of vision could, if delivered, play a key role in moderating pay demands and expectations.</w:t>
      </w:r>
    </w:p>
    <w:sectPr w:rsidR="0003255B" w:rsidRPr="00827762" w:rsidSect="00165B18">
      <w:footerReference w:type="default" r:id="rId13"/>
      <w:pgSz w:w="11906" w:h="16838"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6C" w:rsidRDefault="0012396C" w:rsidP="00165B18">
      <w:r>
        <w:separator/>
      </w:r>
    </w:p>
  </w:endnote>
  <w:endnote w:type="continuationSeparator" w:id="0">
    <w:p w:rsidR="0012396C" w:rsidRDefault="0012396C" w:rsidP="001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073931"/>
      <w:docPartObj>
        <w:docPartGallery w:val="Page Numbers (Bottom of Page)"/>
        <w:docPartUnique/>
      </w:docPartObj>
    </w:sdtPr>
    <w:sdtEndPr>
      <w:rPr>
        <w:noProof/>
      </w:rPr>
    </w:sdtEndPr>
    <w:sdtContent>
      <w:p w:rsidR="00165B18" w:rsidRDefault="00165B18">
        <w:pPr>
          <w:pStyle w:val="Footer"/>
          <w:jc w:val="right"/>
        </w:pPr>
        <w:r>
          <w:fldChar w:fldCharType="begin"/>
        </w:r>
        <w:r>
          <w:instrText xml:space="preserve"> PAGE   \* MERGEFORMAT </w:instrText>
        </w:r>
        <w:r>
          <w:fldChar w:fldCharType="separate"/>
        </w:r>
        <w:r w:rsidR="00B4511E">
          <w:rPr>
            <w:noProof/>
          </w:rPr>
          <w:t>9</w:t>
        </w:r>
        <w:r>
          <w:rPr>
            <w:noProof/>
          </w:rPr>
          <w:fldChar w:fldCharType="end"/>
        </w:r>
      </w:p>
    </w:sdtContent>
  </w:sdt>
  <w:p w:rsidR="00165B18" w:rsidRDefault="00165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6C" w:rsidRDefault="0012396C" w:rsidP="00165B18">
      <w:r>
        <w:separator/>
      </w:r>
    </w:p>
  </w:footnote>
  <w:footnote w:type="continuationSeparator" w:id="0">
    <w:p w:rsidR="0012396C" w:rsidRDefault="0012396C" w:rsidP="0016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61B"/>
    <w:multiLevelType w:val="hybridMultilevel"/>
    <w:tmpl w:val="7264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17ADB"/>
    <w:multiLevelType w:val="hybridMultilevel"/>
    <w:tmpl w:val="E5FED2A4"/>
    <w:lvl w:ilvl="0" w:tplc="62E43AE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7D7C67"/>
    <w:multiLevelType w:val="hybridMultilevel"/>
    <w:tmpl w:val="A61AA130"/>
    <w:lvl w:ilvl="0" w:tplc="62E43AE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8C698D"/>
    <w:multiLevelType w:val="hybridMultilevel"/>
    <w:tmpl w:val="32EA8EAC"/>
    <w:lvl w:ilvl="0" w:tplc="62E43AE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4D23FDA"/>
    <w:multiLevelType w:val="hybridMultilevel"/>
    <w:tmpl w:val="ADE4A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29877B7"/>
    <w:multiLevelType w:val="hybridMultilevel"/>
    <w:tmpl w:val="ADE4A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93"/>
    <w:rsid w:val="0003255B"/>
    <w:rsid w:val="00052CB8"/>
    <w:rsid w:val="000638E0"/>
    <w:rsid w:val="00073D48"/>
    <w:rsid w:val="000B753D"/>
    <w:rsid w:val="000E5EF1"/>
    <w:rsid w:val="0010165D"/>
    <w:rsid w:val="001112D6"/>
    <w:rsid w:val="0012396C"/>
    <w:rsid w:val="00134CE1"/>
    <w:rsid w:val="001517F0"/>
    <w:rsid w:val="00165B18"/>
    <w:rsid w:val="00194F5A"/>
    <w:rsid w:val="001A6479"/>
    <w:rsid w:val="001D1AA4"/>
    <w:rsid w:val="001D6E46"/>
    <w:rsid w:val="001E5D8E"/>
    <w:rsid w:val="00203C18"/>
    <w:rsid w:val="002210AF"/>
    <w:rsid w:val="0022472B"/>
    <w:rsid w:val="00250984"/>
    <w:rsid w:val="002543DC"/>
    <w:rsid w:val="00281E78"/>
    <w:rsid w:val="002D6AB8"/>
    <w:rsid w:val="002E59EE"/>
    <w:rsid w:val="00300A5F"/>
    <w:rsid w:val="00316F99"/>
    <w:rsid w:val="003207ED"/>
    <w:rsid w:val="003250D2"/>
    <w:rsid w:val="0034005B"/>
    <w:rsid w:val="00352FE2"/>
    <w:rsid w:val="00372E0B"/>
    <w:rsid w:val="003960FA"/>
    <w:rsid w:val="003A65A8"/>
    <w:rsid w:val="003B443C"/>
    <w:rsid w:val="00407AD6"/>
    <w:rsid w:val="004103F2"/>
    <w:rsid w:val="0046500A"/>
    <w:rsid w:val="0047407A"/>
    <w:rsid w:val="004D72E8"/>
    <w:rsid w:val="00502F4C"/>
    <w:rsid w:val="00574EB9"/>
    <w:rsid w:val="00582C13"/>
    <w:rsid w:val="005A2A45"/>
    <w:rsid w:val="005E207E"/>
    <w:rsid w:val="005E339F"/>
    <w:rsid w:val="006107C2"/>
    <w:rsid w:val="00642CC5"/>
    <w:rsid w:val="006620D0"/>
    <w:rsid w:val="00676E64"/>
    <w:rsid w:val="006C34A9"/>
    <w:rsid w:val="006D172B"/>
    <w:rsid w:val="006D1F4A"/>
    <w:rsid w:val="0072714B"/>
    <w:rsid w:val="00795874"/>
    <w:rsid w:val="007C2023"/>
    <w:rsid w:val="007D79C2"/>
    <w:rsid w:val="00807562"/>
    <w:rsid w:val="00822960"/>
    <w:rsid w:val="00827762"/>
    <w:rsid w:val="00843238"/>
    <w:rsid w:val="00891340"/>
    <w:rsid w:val="00891839"/>
    <w:rsid w:val="008A15DC"/>
    <w:rsid w:val="008C61E4"/>
    <w:rsid w:val="008E7844"/>
    <w:rsid w:val="008F49CB"/>
    <w:rsid w:val="00900D9E"/>
    <w:rsid w:val="009067DF"/>
    <w:rsid w:val="00917C6F"/>
    <w:rsid w:val="009559B1"/>
    <w:rsid w:val="009A4807"/>
    <w:rsid w:val="009B3A16"/>
    <w:rsid w:val="009C7D0B"/>
    <w:rsid w:val="00A11338"/>
    <w:rsid w:val="00A12F5C"/>
    <w:rsid w:val="00A1529A"/>
    <w:rsid w:val="00A43F8B"/>
    <w:rsid w:val="00A61EBA"/>
    <w:rsid w:val="00A67203"/>
    <w:rsid w:val="00A67952"/>
    <w:rsid w:val="00A85342"/>
    <w:rsid w:val="00AE4E67"/>
    <w:rsid w:val="00B071F9"/>
    <w:rsid w:val="00B4511E"/>
    <w:rsid w:val="00B47916"/>
    <w:rsid w:val="00B52BE5"/>
    <w:rsid w:val="00B53E25"/>
    <w:rsid w:val="00B5409D"/>
    <w:rsid w:val="00B84705"/>
    <w:rsid w:val="00B92724"/>
    <w:rsid w:val="00B97B94"/>
    <w:rsid w:val="00BA64DE"/>
    <w:rsid w:val="00BB2668"/>
    <w:rsid w:val="00BC2C54"/>
    <w:rsid w:val="00BD3C5E"/>
    <w:rsid w:val="00BE45B7"/>
    <w:rsid w:val="00C06A46"/>
    <w:rsid w:val="00C26741"/>
    <w:rsid w:val="00C300FF"/>
    <w:rsid w:val="00C42E15"/>
    <w:rsid w:val="00C435B2"/>
    <w:rsid w:val="00C47E0E"/>
    <w:rsid w:val="00C50893"/>
    <w:rsid w:val="00C50EA0"/>
    <w:rsid w:val="00C633DC"/>
    <w:rsid w:val="00C80BB4"/>
    <w:rsid w:val="00C96D94"/>
    <w:rsid w:val="00CD753A"/>
    <w:rsid w:val="00D06515"/>
    <w:rsid w:val="00D15D4C"/>
    <w:rsid w:val="00DB640A"/>
    <w:rsid w:val="00DB742F"/>
    <w:rsid w:val="00E00E5C"/>
    <w:rsid w:val="00E16A56"/>
    <w:rsid w:val="00E55489"/>
    <w:rsid w:val="00E65356"/>
    <w:rsid w:val="00E6581A"/>
    <w:rsid w:val="00E81AD4"/>
    <w:rsid w:val="00E82764"/>
    <w:rsid w:val="00E830CF"/>
    <w:rsid w:val="00E91F1F"/>
    <w:rsid w:val="00E93A42"/>
    <w:rsid w:val="00EA6432"/>
    <w:rsid w:val="00F044E8"/>
    <w:rsid w:val="00F525C7"/>
    <w:rsid w:val="00F76DE4"/>
    <w:rsid w:val="00F91AB7"/>
    <w:rsid w:val="00FA4089"/>
    <w:rsid w:val="00FC1916"/>
    <w:rsid w:val="00FF3A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2B0AB-6F95-4B31-9784-ACD9468D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1AB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caps/>
      <w:color w:val="FFFFFF" w:themeColor="background1"/>
      <w:spacing w:val="1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91AB7"/>
    <w:pPr>
      <w:shd w:val="clear" w:color="auto" w:fill="5B9BD5" w:themeFill="accent1"/>
      <w:ind w:right="29"/>
    </w:pPr>
    <w:rPr>
      <w:rFonts w:eastAsia="Times New Roman" w:cstheme="minorHAnsi"/>
      <w:b/>
      <w:color w:val="FFFFFF" w:themeColor="background1"/>
      <w:sz w:val="26"/>
      <w:szCs w:val="26"/>
    </w:rPr>
  </w:style>
  <w:style w:type="character" w:customStyle="1" w:styleId="Heading1Char">
    <w:name w:val="Heading 1 Char"/>
    <w:basedOn w:val="DefaultParagraphFont"/>
    <w:link w:val="Heading1"/>
    <w:uiPriority w:val="9"/>
    <w:rsid w:val="00F91AB7"/>
    <w:rPr>
      <w:caps/>
      <w:color w:val="FFFFFF" w:themeColor="background1"/>
      <w:spacing w:val="15"/>
      <w:sz w:val="26"/>
      <w:shd w:val="clear" w:color="auto" w:fill="5B9BD5" w:themeFill="accent1"/>
    </w:rPr>
  </w:style>
  <w:style w:type="paragraph" w:styleId="ListParagraph">
    <w:name w:val="List Paragraph"/>
    <w:basedOn w:val="Normal"/>
    <w:uiPriority w:val="34"/>
    <w:qFormat/>
    <w:rsid w:val="009B3A16"/>
    <w:pPr>
      <w:ind w:left="720"/>
      <w:contextualSpacing/>
    </w:pPr>
  </w:style>
  <w:style w:type="table" w:styleId="TableGrid">
    <w:name w:val="Table Grid"/>
    <w:basedOn w:val="TableNormal"/>
    <w:uiPriority w:val="39"/>
    <w:rsid w:val="00E1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B18"/>
    <w:pPr>
      <w:tabs>
        <w:tab w:val="center" w:pos="4513"/>
        <w:tab w:val="right" w:pos="9026"/>
      </w:tabs>
    </w:pPr>
  </w:style>
  <w:style w:type="character" w:customStyle="1" w:styleId="HeaderChar">
    <w:name w:val="Header Char"/>
    <w:basedOn w:val="DefaultParagraphFont"/>
    <w:link w:val="Header"/>
    <w:uiPriority w:val="99"/>
    <w:rsid w:val="00165B18"/>
  </w:style>
  <w:style w:type="paragraph" w:styleId="Footer">
    <w:name w:val="footer"/>
    <w:basedOn w:val="Normal"/>
    <w:link w:val="FooterChar"/>
    <w:uiPriority w:val="99"/>
    <w:unhideWhenUsed/>
    <w:rsid w:val="00165B18"/>
    <w:pPr>
      <w:tabs>
        <w:tab w:val="center" w:pos="4513"/>
        <w:tab w:val="right" w:pos="9026"/>
      </w:tabs>
    </w:pPr>
  </w:style>
  <w:style w:type="character" w:customStyle="1" w:styleId="FooterChar">
    <w:name w:val="Footer Char"/>
    <w:basedOn w:val="DefaultParagraphFont"/>
    <w:link w:val="Footer"/>
    <w:uiPriority w:val="99"/>
    <w:rsid w:val="00165B18"/>
  </w:style>
  <w:style w:type="paragraph" w:styleId="BalloonText">
    <w:name w:val="Balloon Text"/>
    <w:basedOn w:val="Normal"/>
    <w:link w:val="BalloonTextChar"/>
    <w:uiPriority w:val="99"/>
    <w:semiHidden/>
    <w:unhideWhenUsed/>
    <w:rsid w:val="006C3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4A9"/>
    <w:rPr>
      <w:rFonts w:ascii="Segoe UI" w:hAnsi="Segoe UI" w:cs="Segoe UI"/>
      <w:sz w:val="18"/>
      <w:szCs w:val="18"/>
    </w:rPr>
  </w:style>
  <w:style w:type="paragraph" w:styleId="NoSpacing">
    <w:name w:val="No Spacing"/>
    <w:uiPriority w:val="1"/>
    <w:qFormat/>
    <w:rsid w:val="004103F2"/>
    <w:rPr>
      <w:rFonts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07954">
      <w:bodyDiv w:val="1"/>
      <w:marLeft w:val="0"/>
      <w:marRight w:val="0"/>
      <w:marTop w:val="0"/>
      <w:marBottom w:val="0"/>
      <w:divBdr>
        <w:top w:val="none" w:sz="0" w:space="0" w:color="auto"/>
        <w:left w:val="none" w:sz="0" w:space="0" w:color="auto"/>
        <w:bottom w:val="none" w:sz="0" w:space="0" w:color="auto"/>
        <w:right w:val="none" w:sz="0" w:space="0" w:color="auto"/>
      </w:divBdr>
    </w:div>
    <w:div w:id="1486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4C9F7.51E4EF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Unemployment rate 1990-2019</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327130197801278E-2"/>
          <c:y val="0.17247151825156942"/>
          <c:w val="0.92251466018553574"/>
          <c:h val="0.66013360745624072"/>
        </c:manualLayout>
      </c:layout>
      <c:lineChart>
        <c:grouping val="standard"/>
        <c:varyColors val="0"/>
        <c:ser>
          <c:idx val="0"/>
          <c:order val="0"/>
          <c:spPr>
            <a:ln w="28575" cap="rnd">
              <a:solidFill>
                <a:schemeClr val="accent1"/>
              </a:solidFill>
              <a:round/>
            </a:ln>
            <a:effectLst/>
          </c:spPr>
          <c:marker>
            <c:symbol val="none"/>
          </c:marker>
          <c:cat>
            <c:numRef>
              <c:f>Sheet1!$B$2:$AE$2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formatCode="mmm\-yy">
                  <c:v>43466</c:v>
                </c:pt>
              </c:numCache>
            </c:numRef>
          </c:cat>
          <c:val>
            <c:numRef>
              <c:f>Sheet1!$B$3:$AE$3</c:f>
              <c:numCache>
                <c:formatCode>General</c:formatCode>
                <c:ptCount val="30"/>
                <c:pt idx="0">
                  <c:v>12.9</c:v>
                </c:pt>
                <c:pt idx="1">
                  <c:v>14.7</c:v>
                </c:pt>
                <c:pt idx="2">
                  <c:v>15.1</c:v>
                </c:pt>
                <c:pt idx="3">
                  <c:v>15.7</c:v>
                </c:pt>
                <c:pt idx="4">
                  <c:v>14.7</c:v>
                </c:pt>
                <c:pt idx="5">
                  <c:v>12.2</c:v>
                </c:pt>
                <c:pt idx="6">
                  <c:v>11.9</c:v>
                </c:pt>
                <c:pt idx="7">
                  <c:v>10.3</c:v>
                </c:pt>
                <c:pt idx="8">
                  <c:v>7.9</c:v>
                </c:pt>
                <c:pt idx="9">
                  <c:v>6</c:v>
                </c:pt>
                <c:pt idx="10">
                  <c:v>4.5999999999999996</c:v>
                </c:pt>
                <c:pt idx="11">
                  <c:v>3.9</c:v>
                </c:pt>
                <c:pt idx="12">
                  <c:v>4.5</c:v>
                </c:pt>
                <c:pt idx="13">
                  <c:v>4.5999999999999996</c:v>
                </c:pt>
                <c:pt idx="14">
                  <c:v>4.5999999999999996</c:v>
                </c:pt>
                <c:pt idx="15">
                  <c:v>4.8</c:v>
                </c:pt>
                <c:pt idx="16">
                  <c:v>4.7</c:v>
                </c:pt>
                <c:pt idx="17">
                  <c:v>4.8</c:v>
                </c:pt>
                <c:pt idx="18">
                  <c:v>5.8</c:v>
                </c:pt>
                <c:pt idx="19">
                  <c:v>12.3</c:v>
                </c:pt>
                <c:pt idx="20">
                  <c:v>13.9</c:v>
                </c:pt>
                <c:pt idx="21">
                  <c:v>14.6</c:v>
                </c:pt>
                <c:pt idx="22">
                  <c:v>15</c:v>
                </c:pt>
                <c:pt idx="23">
                  <c:v>13.9</c:v>
                </c:pt>
                <c:pt idx="24">
                  <c:v>11.9</c:v>
                </c:pt>
                <c:pt idx="25">
                  <c:v>9.8000000000000007</c:v>
                </c:pt>
                <c:pt idx="26">
                  <c:v>8.6</c:v>
                </c:pt>
                <c:pt idx="27">
                  <c:v>6.7</c:v>
                </c:pt>
                <c:pt idx="28">
                  <c:v>5.8</c:v>
                </c:pt>
                <c:pt idx="29">
                  <c:v>5.3</c:v>
                </c:pt>
              </c:numCache>
            </c:numRef>
          </c:val>
          <c:smooth val="0"/>
        </c:ser>
        <c:dLbls>
          <c:showLegendKey val="0"/>
          <c:showVal val="0"/>
          <c:showCatName val="0"/>
          <c:showSerName val="0"/>
          <c:showPercent val="0"/>
          <c:showBubbleSize val="0"/>
        </c:dLbls>
        <c:smooth val="0"/>
        <c:axId val="559154632"/>
        <c:axId val="559147576"/>
      </c:lineChart>
      <c:catAx>
        <c:axId val="55915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147576"/>
        <c:crosses val="autoZero"/>
        <c:auto val="1"/>
        <c:lblAlgn val="ctr"/>
        <c:lblOffset val="100"/>
        <c:noMultiLvlLbl val="0"/>
      </c:catAx>
      <c:valAx>
        <c:axId val="559147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154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4BD3-FBF2-4B3F-B098-C2E9FB17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Elliott</dc:creator>
  <cp:keywords/>
  <dc:description/>
  <cp:lastModifiedBy>Niall shanahan</cp:lastModifiedBy>
  <cp:revision>5</cp:revision>
  <cp:lastPrinted>2019-03-06T14:47:00Z</cp:lastPrinted>
  <dcterms:created xsi:type="dcterms:W3CDTF">2019-03-06T14:44:00Z</dcterms:created>
  <dcterms:modified xsi:type="dcterms:W3CDTF">2019-03-07T13:38:00Z</dcterms:modified>
</cp:coreProperties>
</file>